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июня 2014 г. N 588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ИЗМЕНЕНИЯ,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ПОСТАНОВЛЕНИЕ ПРАВИТЕЛЬСТВА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13 МАЯ 2013 Г. N 406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4" w:history="1">
        <w:r>
          <w:rPr>
            <w:rFonts w:ascii="Calibri" w:hAnsi="Calibri" w:cs="Calibri"/>
            <w:color w:val="0000FF"/>
          </w:rPr>
          <w:t>Основах</w:t>
        </w:r>
      </w:hyperlink>
      <w:r>
        <w:rPr>
          <w:rFonts w:ascii="Calibri" w:hAnsi="Calibri" w:cs="Calibri"/>
        </w:rPr>
        <w:t xml:space="preserve"> ценообразования в сфере водоснабжения и водоотведения, утвержденных указанным постановлением: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пункт 2 после </w:t>
      </w:r>
      <w:hyperlink r:id="rId5" w:history="1">
        <w:r>
          <w:rPr>
            <w:rFonts w:ascii="Calibri" w:hAnsi="Calibri" w:cs="Calibri"/>
            <w:color w:val="0000FF"/>
          </w:rPr>
          <w:t>абзаца девятнадцатого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"расчетная предпринимательская прибыль гарантирующей организации" - величина, учитываемая при определении необходимой валовой выручки гарантирующей организации, используемой при расчете тарифов с применением метода экономически обоснованных затрат или метода индексации на период регулирования (на каждый год долгосрочного периода регулирования - в случае установления тарифов с применением метода индексации), остающаяся в распоряжении гарантирующей организации и расходуемая ею по своему усмотрению;";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6" w:history="1">
        <w:r>
          <w:rPr>
            <w:rFonts w:ascii="Calibri" w:hAnsi="Calibri" w:cs="Calibri"/>
            <w:color w:val="0000FF"/>
          </w:rPr>
          <w:t>абзац второй пункта 15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3643B" w:rsidRPr="009533E2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9533E2">
        <w:rPr>
          <w:rFonts w:ascii="Calibri" w:hAnsi="Calibri" w:cs="Calibri"/>
          <w:color w:val="FF0000"/>
        </w:rPr>
        <w:t>"Расходы, связанные с обслуживанием заемных средств, учитываются в размере, рассчитанном исходя из ставки процента, равной ставке рефинансирования Центрального банка Российской Федерации, действующей на дату привлечения таких средств (заключения договора займа, кредитного договора), увеличенной в 1,5 раза, но не менее 4 процентных пунктов. По решению органа регулирования тарифов для регулируемых организаций, осуществляющих деятельность в сфере водоснабжения и водоотведения в населенных пунктах с численностью населения менее 100 тыс. человек,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Федерации, действующей на дату привлечения заемных средств, увеличенной более чем в 1,5 раза, но в размере не менее 4 процентных пунктов.";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7" w:history="1">
        <w:r>
          <w:rPr>
            <w:rFonts w:ascii="Calibri" w:hAnsi="Calibri" w:cs="Calibri"/>
            <w:color w:val="0000FF"/>
          </w:rPr>
          <w:t>пункт 38</w:t>
        </w:r>
      </w:hyperlink>
      <w:r>
        <w:rPr>
          <w:rFonts w:ascii="Calibri" w:hAnsi="Calibri" w:cs="Calibri"/>
        </w:rPr>
        <w:t xml:space="preserve"> дополнить подпунктом "и" следующего содержания: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"и) расчетной предпринимательской прибыли гарантирующей организации.";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8" w:history="1">
        <w:r>
          <w:rPr>
            <w:rFonts w:ascii="Calibri" w:hAnsi="Calibri" w:cs="Calibri"/>
            <w:color w:val="0000FF"/>
          </w:rPr>
          <w:t>подпункте "а" пункта 41</w:t>
        </w:r>
      </w:hyperlink>
      <w:r>
        <w:rPr>
          <w:rFonts w:ascii="Calibri" w:hAnsi="Calibri" w:cs="Calibri"/>
        </w:rPr>
        <w:t xml:space="preserve"> слова "и управленческих" исключить;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9" w:history="1">
        <w:r>
          <w:rPr>
            <w:rFonts w:ascii="Calibri" w:hAnsi="Calibri" w:cs="Calibri"/>
            <w:color w:val="0000FF"/>
          </w:rPr>
          <w:t>подпункт "в" пункта 46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"в) расходы на социальные нужды, предусмотренные коллективными договорами.";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1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47(1) следующего содержания:</w:t>
      </w:r>
    </w:p>
    <w:p w:rsidR="0003643B" w:rsidRPr="009533E2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 w:rsidRPr="009533E2">
        <w:rPr>
          <w:rFonts w:ascii="Calibri" w:hAnsi="Calibri" w:cs="Calibri"/>
          <w:color w:val="FF0000"/>
          <w:u w:val="single"/>
        </w:rPr>
        <w:t xml:space="preserve">"47(1). Расчетная предпринимательская прибыль гарантирующей организации определяется в размере 5 </w:t>
      </w:r>
      <w:proofErr w:type="gramStart"/>
      <w:r w:rsidRPr="009533E2">
        <w:rPr>
          <w:rFonts w:ascii="Calibri" w:hAnsi="Calibri" w:cs="Calibri"/>
          <w:color w:val="FF0000"/>
          <w:u w:val="single"/>
        </w:rPr>
        <w:t>процентов</w:t>
      </w:r>
      <w:proofErr w:type="gramEnd"/>
      <w:r w:rsidRPr="009533E2">
        <w:rPr>
          <w:rFonts w:ascii="Calibri" w:hAnsi="Calibri" w:cs="Calibri"/>
          <w:color w:val="FF0000"/>
          <w:u w:val="single"/>
        </w:rPr>
        <w:t xml:space="preserve"> включаемых в необходимую валовую выручку на очередной период регулирования расходов, указанных в подпунктах "а" - "ж" пункта 38 настоящего документа.</w:t>
      </w:r>
    </w:p>
    <w:p w:rsidR="0003643B" w:rsidRPr="009533E2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 w:rsidRPr="009533E2">
        <w:rPr>
          <w:rFonts w:ascii="Calibri" w:hAnsi="Calibri" w:cs="Calibri"/>
          <w:color w:val="FF0000"/>
        </w:rPr>
        <w:t>Расчетная предпринимательская прибыль гарантирующей организации, являющейся государственным или муниципальным унитарным предприятием, по предложению этой гарантирующей организации устанавливается на более низком уровне.</w:t>
      </w:r>
      <w:bookmarkStart w:id="0" w:name="_GoBack"/>
      <w:bookmarkEnd w:id="0"/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предпринимательская прибыль гарантирующей организации не учитывается при определении необходимой валовой выручки регулируемой организации, не являющейся гарантирующей.";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11" w:history="1">
        <w:r>
          <w:rPr>
            <w:rFonts w:ascii="Calibri" w:hAnsi="Calibri" w:cs="Calibri"/>
            <w:color w:val="0000FF"/>
          </w:rPr>
          <w:t>абзац третий пункта 69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"Срок возврата инвестированного капитала устанавливается по решению органа </w:t>
      </w:r>
      <w:r>
        <w:rPr>
          <w:rFonts w:ascii="Calibri" w:hAnsi="Calibri" w:cs="Calibri"/>
        </w:rPr>
        <w:lastRenderedPageBreak/>
        <w:t>регулирования тарифов в зависимости от величины предельных (минимальных и (или) максимальных) индексов роста цен (тарифов), учитываемых при переходе к регулированию цен (тарифов) на основе долгосрочных параметров регулирования тарифов (при переходе к новому долгосрочному периоду регулирования):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организаций, осуществляющих деятельность с использованием централизованных систем горячего водоснабжения, холодного водоснабжения и (или) водоотведения, отдельных объектов таких систем по концессионному соглашению или договору аренды таких систем и (или) объектов, - равным от 10 до 30 лет;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иных регулируемых организаций - равным от 20 до 30 лет.";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12" w:history="1">
        <w:r>
          <w:rPr>
            <w:rFonts w:ascii="Calibri" w:hAnsi="Calibri" w:cs="Calibri"/>
            <w:color w:val="0000FF"/>
          </w:rPr>
          <w:t>пункт 74</w:t>
        </w:r>
      </w:hyperlink>
      <w:r>
        <w:rPr>
          <w:rFonts w:ascii="Calibri" w:hAnsi="Calibri" w:cs="Calibri"/>
        </w:rPr>
        <w:t xml:space="preserve"> дополнить словами ", а также расчетную предпринимательскую прибыль гарантирующей организации";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</w:t>
      </w:r>
      <w:hyperlink r:id="rId1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78(1) следующего содержания: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"78(1).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регулирования, определенных в соответствии с пунктом 76 настоящего документа (за исключением расходов на выплаты по договорам займа и кредитным договорам, включая возврат сумм основного долга и процентов по ним), и расходов на амортизацию основных средств и нематериальных активов.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предпринимательская прибыль гарантирующей организации, являющейся государственным или муниципальным унитарным предприятием, по предложению этой гарантирующей организации устанавливается на более низком уровне.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предпринимательская прибыль гарантирующей организации не учитывается при определении необходимой валовой выручки регулируемой организации, не являющейся гарантирующей.".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4" w:history="1">
        <w:r>
          <w:rPr>
            <w:rFonts w:ascii="Calibri" w:hAnsi="Calibri" w:cs="Calibri"/>
            <w:color w:val="0000FF"/>
          </w:rPr>
          <w:t>Подпункт "к" пункта 29</w:t>
        </w:r>
      </w:hyperlink>
      <w:r>
        <w:rPr>
          <w:rFonts w:ascii="Calibri" w:hAnsi="Calibri" w:cs="Calibri"/>
        </w:rPr>
        <w:t xml:space="preserve"> Правил регулирования тарифов в сфере водоснабжения и водоотведения, утвержденных указанным постановлением, изложить в следующей редакции:</w:t>
      </w:r>
    </w:p>
    <w:p w:rsidR="0003643B" w:rsidRDefault="000364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"к) фактические и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водоотведения, принятые в расчет при установлении тарифов (по годам на период действия тарифов).".</w:t>
      </w:r>
    </w:p>
    <w:p w:rsidR="0003643B" w:rsidRDefault="009533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5" w:history="1">
        <w:r w:rsidR="0003643B">
          <w:rPr>
            <w:rFonts w:ascii="Calibri" w:hAnsi="Calibri" w:cs="Calibri"/>
            <w:i/>
            <w:iCs/>
            <w:color w:val="0000FF"/>
          </w:rPr>
          <w:br/>
          <w:t>Постановление Правительства РФ от 26.06.2014 N 588 "О внесении изменений в постановление Правительства Российской Федерации от 13 мая 2013 г. N 406" {</w:t>
        </w:r>
        <w:proofErr w:type="spellStart"/>
        <w:r w:rsidR="0003643B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03643B">
          <w:rPr>
            <w:rFonts w:ascii="Calibri" w:hAnsi="Calibri" w:cs="Calibri"/>
            <w:i/>
            <w:iCs/>
            <w:color w:val="0000FF"/>
          </w:rPr>
          <w:t>}</w:t>
        </w:r>
        <w:r w:rsidR="0003643B">
          <w:rPr>
            <w:rFonts w:ascii="Calibri" w:hAnsi="Calibri" w:cs="Calibri"/>
            <w:i/>
            <w:iCs/>
            <w:color w:val="0000FF"/>
          </w:rPr>
          <w:br/>
        </w:r>
      </w:hyperlink>
    </w:p>
    <w:p w:rsidR="00981D8E" w:rsidRDefault="00981D8E"/>
    <w:sectPr w:rsidR="00981D8E" w:rsidSect="00CE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3B"/>
    <w:rsid w:val="0003643B"/>
    <w:rsid w:val="009533E2"/>
    <w:rsid w:val="009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6FB3-B3AC-43FE-B9B2-0AF2AABF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DB924F5A7729292B6587C4509101FAD811474B86E198A01CBF0BD0531F8A0FD9B446FD4BEFD77H7SAI" TargetMode="External"/><Relationship Id="rId13" Type="http://schemas.openxmlformats.org/officeDocument/2006/relationships/hyperlink" Target="consultantplus://offline/ref=FFFDB924F5A7729292B6587C4509101FAD811474B86E198A01CBF0BD0531F8A0FD9B446FD4BEFC72H7S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FDB924F5A7729292B6587C4509101FAD811474B86E198A01CBF0BD0531F8A0FD9B446FD4BEFD75H7S4I" TargetMode="External"/><Relationship Id="rId12" Type="http://schemas.openxmlformats.org/officeDocument/2006/relationships/hyperlink" Target="consultantplus://offline/ref=FFFDB924F5A7729292B6587C4509101FAD811474B86E198A01CBF0BD0531F8A0FD9B446FD4BEFE76H7S1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FDB924F5A7729292B6587C4509101FAD811474B86E198A01CBF0BD0531F8A0FD9B446FD4BEFC79H7S6I" TargetMode="External"/><Relationship Id="rId11" Type="http://schemas.openxmlformats.org/officeDocument/2006/relationships/hyperlink" Target="consultantplus://offline/ref=FFFDB924F5A7729292B6587C4509101FAD811474B86E198A01CBF0BD0531F8A0FD9B446FD4BEFE74H7S1I" TargetMode="External"/><Relationship Id="rId5" Type="http://schemas.openxmlformats.org/officeDocument/2006/relationships/hyperlink" Target="consultantplus://offline/ref=FFFDB924F5A7729292B6587C4509101FAD811474B86E198A01CBF0BD0531F8A0FD9B446FD4BEFC74H7S6I" TargetMode="External"/><Relationship Id="rId15" Type="http://schemas.openxmlformats.org/officeDocument/2006/relationships/hyperlink" Target="consultantplus://offline/ref=FFFDB924F5A7729292B6587C4509101FAD811577BD6A198A01CBF0BD0531F8A0FD9B446FD4BEFC70H7S5I" TargetMode="External"/><Relationship Id="rId10" Type="http://schemas.openxmlformats.org/officeDocument/2006/relationships/hyperlink" Target="consultantplus://offline/ref=FFFDB924F5A7729292B6587C4509101FAD811474B86E198A01CBF0BD0531F8A0FD9B446FD4BEFC72H7S0I" TargetMode="External"/><Relationship Id="rId4" Type="http://schemas.openxmlformats.org/officeDocument/2006/relationships/hyperlink" Target="consultantplus://offline/ref=FFFDB924F5A7729292B6587C4509101FAD811474B86E198A01CBF0BD0531F8A0FD9B446FD4BEFC72H7S0I" TargetMode="External"/><Relationship Id="rId9" Type="http://schemas.openxmlformats.org/officeDocument/2006/relationships/hyperlink" Target="consultantplus://offline/ref=FFFDB924F5A7729292B6587C4509101FAD811474B86E198A01CBF0BD0531F8A0FD9B446FD4BEFD79H7SBI" TargetMode="External"/><Relationship Id="rId14" Type="http://schemas.openxmlformats.org/officeDocument/2006/relationships/hyperlink" Target="consultantplus://offline/ref=FFFDB924F5A7729292B6587C4509101FAD811474B86E198A01CBF0BD0531F8A0FD9B446FD4BEF973H7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2014-07-30T08:18:00Z</dcterms:created>
  <dcterms:modified xsi:type="dcterms:W3CDTF">2014-07-30T11:11:00Z</dcterms:modified>
</cp:coreProperties>
</file>