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A026" w14:textId="77777777" w:rsidR="00493D0C" w:rsidRDefault="00493D0C" w:rsidP="00493D0C">
      <w:pPr>
        <w:spacing w:after="0"/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895A87" wp14:editId="0C62A671">
            <wp:simplePos x="0" y="0"/>
            <wp:positionH relativeFrom="margin">
              <wp:align>center</wp:align>
            </wp:positionH>
            <wp:positionV relativeFrom="paragraph">
              <wp:posOffset>247650</wp:posOffset>
            </wp:positionV>
            <wp:extent cx="2000250" cy="1983105"/>
            <wp:effectExtent l="0" t="0" r="0" b="0"/>
            <wp:wrapSquare wrapText="bothSides"/>
            <wp:docPr id="3" name="Рисунок 1" descr="нов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8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  <w:br w:type="textWrapping" w:clear="all"/>
      </w:r>
    </w:p>
    <w:p w14:paraId="6B0C9490" w14:textId="77777777" w:rsidR="00493D0C" w:rsidRDefault="00493D0C" w:rsidP="00493D0C">
      <w:pPr>
        <w:spacing w:after="0"/>
        <w:jc w:val="center"/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</w:pPr>
      <w:r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  <w:t>Информационный бюллетень</w:t>
      </w:r>
    </w:p>
    <w:p w14:paraId="5CAC5272" w14:textId="0CEA83BD" w:rsidR="00493D0C" w:rsidRDefault="00493D0C" w:rsidP="00493D0C">
      <w:pPr>
        <w:spacing w:after="0"/>
        <w:jc w:val="center"/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</w:pPr>
      <w:r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  <w:t xml:space="preserve">№ </w:t>
      </w:r>
      <w:r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  <w:t>4</w:t>
      </w:r>
    </w:p>
    <w:p w14:paraId="59E3BC40" w14:textId="77777777" w:rsidR="00493D0C" w:rsidRDefault="00493D0C" w:rsidP="00493D0C">
      <w:pPr>
        <w:spacing w:after="0"/>
        <w:jc w:val="center"/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</w:pPr>
      <w:r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  <w:t>Регионального отраслевого объединения работодателей</w:t>
      </w:r>
    </w:p>
    <w:p w14:paraId="10B9BF1E" w14:textId="77777777" w:rsidR="00493D0C" w:rsidRDefault="00493D0C" w:rsidP="00493D0C">
      <w:pPr>
        <w:spacing w:after="0"/>
        <w:jc w:val="center"/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</w:pPr>
      <w:r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  <w:t>Ассоциации организаций жилищно-коммунального хозяйства Орловской области.</w:t>
      </w:r>
    </w:p>
    <w:p w14:paraId="40E58989" w14:textId="2A780692" w:rsidR="00493D0C" w:rsidRDefault="00493D0C" w:rsidP="00493D0C">
      <w:pPr>
        <w:jc w:val="center"/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</w:pPr>
      <w:r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  <w:t>апрель</w:t>
      </w:r>
      <w:r>
        <w:rPr>
          <w:rFonts w:ascii="Times New Roman" w:eastAsia="Times New Roman" w:hAnsi="Times New Roman"/>
          <w:b/>
          <w:color w:val="C00000"/>
          <w:sz w:val="40"/>
          <w:szCs w:val="40"/>
          <w:u w:val="single"/>
        </w:rPr>
        <w:t xml:space="preserve"> 2026 г.</w:t>
      </w:r>
    </w:p>
    <w:p w14:paraId="40DA29FB" w14:textId="70A43B0C" w:rsidR="00493D0C" w:rsidRDefault="00493D0C" w:rsidP="00493D0C">
      <w:pPr>
        <w:rPr>
          <w:rFonts w:ascii="Times New Roman" w:eastAsia="Times New Roman" w:hAnsi="Times New Roman"/>
          <w:b/>
          <w:color w:val="002060"/>
          <w:sz w:val="40"/>
          <w:szCs w:val="40"/>
          <w:u w:val="single"/>
        </w:rPr>
      </w:pPr>
      <w:r>
        <w:rPr>
          <w:rFonts w:ascii="Times New Roman" w:eastAsia="Times New Roman" w:hAnsi="Times New Roman"/>
          <w:b/>
          <w:color w:val="002060"/>
          <w:sz w:val="40"/>
          <w:szCs w:val="40"/>
          <w:u w:val="single"/>
        </w:rPr>
        <w:t>Содержание:</w:t>
      </w:r>
    </w:p>
    <w:p w14:paraId="53973FBC" w14:textId="316E7DEE" w:rsidR="00493D0C" w:rsidRDefault="00493D0C" w:rsidP="00493D0C">
      <w:pPr>
        <w:pStyle w:val="a3"/>
        <w:numPr>
          <w:ilvl w:val="0"/>
          <w:numId w:val="1"/>
        </w:numPr>
        <w:spacing w:line="259" w:lineRule="auto"/>
        <w:rPr>
          <w:rFonts w:ascii="Times New Roman" w:eastAsiaTheme="minorHAnsi" w:hAnsi="Times New Roman"/>
          <w:b/>
          <w:bCs/>
          <w:color w:val="002060"/>
          <w:sz w:val="36"/>
          <w:szCs w:val="36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6"/>
          <w:szCs w:val="36"/>
        </w:rPr>
        <w:t>Новости отрасли</w:t>
      </w:r>
    </w:p>
    <w:p w14:paraId="3BC8D5E7" w14:textId="77777777" w:rsidR="00493D0C" w:rsidRPr="00493D0C" w:rsidRDefault="00493D0C" w:rsidP="00493D0C">
      <w:pPr>
        <w:pStyle w:val="a3"/>
        <w:numPr>
          <w:ilvl w:val="0"/>
          <w:numId w:val="1"/>
        </w:numPr>
        <w:rPr>
          <w:rFonts w:ascii="Times New Roman" w:eastAsiaTheme="minorHAnsi" w:hAnsi="Times New Roman"/>
          <w:b/>
          <w:bCs/>
          <w:color w:val="002060"/>
          <w:sz w:val="36"/>
          <w:szCs w:val="36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6"/>
          <w:szCs w:val="36"/>
        </w:rPr>
        <w:t>На какие вопросы по управлению МКД ответили ГЖИ в I квартале 2026 года</w:t>
      </w:r>
    </w:p>
    <w:p w14:paraId="1B47A9A4" w14:textId="77777777" w:rsidR="00493D0C" w:rsidRPr="00493D0C" w:rsidRDefault="00493D0C" w:rsidP="00493D0C">
      <w:pPr>
        <w:pStyle w:val="a3"/>
        <w:numPr>
          <w:ilvl w:val="0"/>
          <w:numId w:val="1"/>
        </w:numPr>
        <w:rPr>
          <w:rFonts w:ascii="Times New Roman" w:eastAsiaTheme="minorHAnsi" w:hAnsi="Times New Roman"/>
          <w:b/>
          <w:bCs/>
          <w:color w:val="002060"/>
          <w:sz w:val="36"/>
          <w:szCs w:val="36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6"/>
          <w:szCs w:val="36"/>
        </w:rPr>
        <w:t>Как правильно отразить в договоре управления индексацию его цены</w:t>
      </w:r>
    </w:p>
    <w:p w14:paraId="75F98307" w14:textId="30F7FDE0" w:rsidR="00493D0C" w:rsidRDefault="00493D0C" w:rsidP="00493D0C">
      <w:pPr>
        <w:pStyle w:val="a3"/>
        <w:numPr>
          <w:ilvl w:val="0"/>
          <w:numId w:val="1"/>
        </w:numPr>
        <w:rPr>
          <w:rFonts w:ascii="Times New Roman" w:eastAsiaTheme="minorHAnsi" w:hAnsi="Times New Roman"/>
          <w:b/>
          <w:bCs/>
          <w:color w:val="002060"/>
          <w:sz w:val="36"/>
          <w:szCs w:val="36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6"/>
          <w:szCs w:val="36"/>
        </w:rPr>
        <w:t>Когда ГЖИ не вправе признать индексацию платы за жильё незаконной</w:t>
      </w:r>
    </w:p>
    <w:p w14:paraId="57570040" w14:textId="77777777" w:rsidR="00B82D15" w:rsidRPr="00B82D15" w:rsidRDefault="00B82D15" w:rsidP="00B82D15">
      <w:pPr>
        <w:pStyle w:val="a3"/>
        <w:numPr>
          <w:ilvl w:val="0"/>
          <w:numId w:val="1"/>
        </w:numPr>
        <w:rPr>
          <w:rFonts w:ascii="Times New Roman" w:eastAsiaTheme="minorHAnsi" w:hAnsi="Times New Roman"/>
          <w:b/>
          <w:bCs/>
          <w:color w:val="002060"/>
          <w:sz w:val="36"/>
          <w:szCs w:val="36"/>
        </w:rPr>
      </w:pPr>
      <w:r w:rsidRPr="00B82D15">
        <w:rPr>
          <w:rFonts w:ascii="Times New Roman" w:eastAsiaTheme="minorHAnsi" w:hAnsi="Times New Roman"/>
          <w:b/>
          <w:bCs/>
          <w:color w:val="002060"/>
          <w:sz w:val="36"/>
          <w:szCs w:val="36"/>
        </w:rPr>
        <w:t>При каких условиях УО вправе индексировать размер платы без ОСС</w:t>
      </w:r>
    </w:p>
    <w:p w14:paraId="6789C524" w14:textId="77777777" w:rsidR="00493D0C" w:rsidRPr="00B82D15" w:rsidRDefault="00493D0C" w:rsidP="00B82D15">
      <w:pPr>
        <w:pStyle w:val="a3"/>
        <w:numPr>
          <w:ilvl w:val="0"/>
          <w:numId w:val="1"/>
        </w:numPr>
        <w:rPr>
          <w:rFonts w:ascii="Times New Roman" w:eastAsiaTheme="minorHAnsi" w:hAnsi="Times New Roman"/>
          <w:b/>
          <w:bCs/>
          <w:color w:val="002060"/>
          <w:sz w:val="36"/>
          <w:szCs w:val="36"/>
        </w:rPr>
      </w:pPr>
      <w:r w:rsidRPr="00B82D15">
        <w:rPr>
          <w:rFonts w:ascii="Times New Roman" w:eastAsiaTheme="minorHAnsi" w:hAnsi="Times New Roman"/>
          <w:b/>
          <w:bCs/>
          <w:color w:val="002060"/>
          <w:sz w:val="36"/>
          <w:szCs w:val="36"/>
        </w:rPr>
        <w:t>Как без суда заставить должника заплатить</w:t>
      </w:r>
    </w:p>
    <w:p w14:paraId="43762773" w14:textId="77777777" w:rsidR="00493D0C" w:rsidRPr="00493D0C" w:rsidRDefault="00493D0C" w:rsidP="00493D0C">
      <w:pPr>
        <w:pStyle w:val="a3"/>
        <w:numPr>
          <w:ilvl w:val="0"/>
          <w:numId w:val="1"/>
        </w:numPr>
        <w:rPr>
          <w:rFonts w:ascii="Times New Roman" w:eastAsiaTheme="minorHAnsi" w:hAnsi="Times New Roman"/>
          <w:b/>
          <w:bCs/>
          <w:color w:val="002060"/>
          <w:sz w:val="36"/>
          <w:szCs w:val="36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6"/>
          <w:szCs w:val="36"/>
        </w:rPr>
        <w:t>Какие новые полномочия в 2026 году получат органы ГЖН, и почему</w:t>
      </w:r>
    </w:p>
    <w:p w14:paraId="0E2F6D85" w14:textId="77777777" w:rsidR="00493D0C" w:rsidRPr="00493D0C" w:rsidRDefault="00493D0C" w:rsidP="00493D0C">
      <w:pPr>
        <w:pStyle w:val="a3"/>
        <w:numPr>
          <w:ilvl w:val="0"/>
          <w:numId w:val="1"/>
        </w:numPr>
        <w:rPr>
          <w:rFonts w:ascii="Times New Roman" w:eastAsiaTheme="minorHAnsi" w:hAnsi="Times New Roman"/>
          <w:b/>
          <w:bCs/>
          <w:color w:val="002060"/>
          <w:sz w:val="36"/>
          <w:szCs w:val="36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6"/>
          <w:szCs w:val="36"/>
        </w:rPr>
        <w:t>Как с 1 марта будет проводиться лицензионный контроль за работой УО</w:t>
      </w:r>
    </w:p>
    <w:p w14:paraId="1B93A97B" w14:textId="2FF43859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6"/>
          <w:szCs w:val="36"/>
          <w:u w:val="single"/>
        </w:rPr>
      </w:pPr>
      <w:r>
        <w:rPr>
          <w:rFonts w:ascii="Times New Roman" w:eastAsiaTheme="minorHAnsi" w:hAnsi="Times New Roman"/>
          <w:b/>
          <w:bCs/>
          <w:color w:val="002060"/>
          <w:sz w:val="36"/>
          <w:szCs w:val="36"/>
          <w:u w:val="single"/>
        </w:rPr>
        <w:t>---------------------------------------------------------------------------------------</w:t>
      </w:r>
    </w:p>
    <w:p w14:paraId="55091CD5" w14:textId="61EF4ECE" w:rsidR="00493D0C" w:rsidRPr="00B82D15" w:rsidRDefault="00493D0C" w:rsidP="00B82D15">
      <w:pPr>
        <w:pStyle w:val="a3"/>
        <w:numPr>
          <w:ilvl w:val="0"/>
          <w:numId w:val="7"/>
        </w:numPr>
        <w:spacing w:line="259" w:lineRule="auto"/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</w:pPr>
      <w:bookmarkStart w:id="0" w:name="_Hlk226195727"/>
      <w:r w:rsidRPr="00B82D15"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  <w:lastRenderedPageBreak/>
        <w:t>Новости отрасли</w:t>
      </w:r>
    </w:p>
    <w:bookmarkEnd w:id="0"/>
    <w:p w14:paraId="59A3F5CA" w14:textId="77777777" w:rsidR="00493D0C" w:rsidRPr="00493D0C" w:rsidRDefault="00493D0C" w:rsidP="00493D0C">
      <w:pPr>
        <w:spacing w:after="360" w:line="240" w:lineRule="auto"/>
        <w:outlineLvl w:val="0"/>
        <w:rPr>
          <w:rFonts w:ascii="Times New Roman" w:eastAsia="Times New Roman" w:hAnsi="Times New Roman"/>
          <w:b/>
          <w:bCs/>
          <w:color w:val="002060"/>
          <w:kern w:val="36"/>
          <w:sz w:val="36"/>
          <w:szCs w:val="36"/>
          <w:u w:val="single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002060"/>
          <w:kern w:val="36"/>
          <w:sz w:val="36"/>
          <w:szCs w:val="36"/>
          <w:u w:val="single"/>
          <w:lang w:eastAsia="ru-RU"/>
        </w:rPr>
        <w:t>Оспаривать решения по ЖКХ станет проще и быстрее</w:t>
      </w:r>
    </w:p>
    <w:p w14:paraId="02191B21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FFFFFF"/>
          <w:sz w:val="24"/>
          <w:szCs w:val="24"/>
          <w:shd w:val="clear" w:color="auto" w:fill="224164"/>
        </w:rPr>
      </w:pPr>
      <w:r w:rsidRPr="00493D0C">
        <w:rPr>
          <w:rFonts w:ascii="Times New Roman" w:eastAsiaTheme="minorHAnsi" w:hAnsi="Times New Roman"/>
          <w:b/>
          <w:bCs/>
          <w:color w:val="FFFFFF"/>
          <w:sz w:val="24"/>
          <w:szCs w:val="24"/>
          <w:shd w:val="clear" w:color="auto" w:fill="224164"/>
        </w:rPr>
        <w:t>Госдума изменила порядок пересмотра решений мировых судей. Новые правила особенно затронут споры в сфере ЖКХ</w:t>
      </w:r>
    </w:p>
    <w:p w14:paraId="1832852D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Парламент принял закон, который меняет систему кассационного пересмотра решений мировых судей, передавая эти полномочия на региональный уровень. Документ одобрен сразу во втором и третьем чтениях.</w:t>
      </w:r>
    </w:p>
    <w:p w14:paraId="652BCE10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Основные изменения:</w:t>
      </w:r>
    </w:p>
    <w:p w14:paraId="5C8D2DED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- Рассмотрение кассационных жалоб по делам мировых судей передают верховным судам республик, краевым и областным судам. Ранее этим занимались кассационные суды общей юрисдикции.</w:t>
      </w:r>
    </w:p>
    <w:p w14:paraId="2F27CF71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- При этом кассационные суды сохранят за собой часть полномочий — например, будут рассматривать отдельные категории дел и вопросы, связанные с новыми или вновь открывшимися обстоятельствами.</w:t>
      </w:r>
    </w:p>
    <w:p w14:paraId="254DDC92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Для сферы ЖКХ нововведение имеет особое значение, поскольку именно через мировых судей проходит подавляющее большинство споров — около 87%.</w:t>
      </w:r>
    </w:p>
    <w:p w14:paraId="3713A18F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Перенос кассации на уровень регионов фактически приближает процедуру пересмотра к участникам споров — управляющим компаниям, ресурсоснабжающим организациям и самим жителям. Это может сократить сроки рассмотрения и упростить доступ к судебной защите.</w:t>
      </w:r>
    </w:p>
    <w:p w14:paraId="0729C099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По сути, меняется сама логика кассационного обжалования: система становится более локальной, а не централизованной.</w:t>
      </w:r>
    </w:p>
    <w:p w14:paraId="67CE524B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Закон начнёт действовать через 30 дней после его официального опубликования</w:t>
      </w:r>
    </w:p>
    <w:p w14:paraId="71380798" w14:textId="77777777" w:rsidR="00493D0C" w:rsidRPr="00493D0C" w:rsidRDefault="00493D0C" w:rsidP="00493D0C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----------------------------------------------------------------------------------------------------------------------------------</w:t>
      </w:r>
    </w:p>
    <w:p w14:paraId="0D885832" w14:textId="77777777" w:rsidR="00493D0C" w:rsidRPr="00493D0C" w:rsidRDefault="00493D0C" w:rsidP="00493D0C">
      <w:pPr>
        <w:spacing w:after="360" w:line="240" w:lineRule="auto"/>
        <w:outlineLvl w:val="0"/>
        <w:rPr>
          <w:rFonts w:ascii="Times New Roman" w:eastAsia="Times New Roman" w:hAnsi="Times New Roman"/>
          <w:b/>
          <w:bCs/>
          <w:color w:val="002060"/>
          <w:kern w:val="36"/>
          <w:sz w:val="36"/>
          <w:szCs w:val="36"/>
          <w:u w:val="single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002060"/>
          <w:kern w:val="36"/>
          <w:sz w:val="36"/>
          <w:szCs w:val="36"/>
          <w:u w:val="single"/>
          <w:lang w:eastAsia="ru-RU"/>
        </w:rPr>
        <w:t>Тарифы на воду могут вырасти из-за расширения инвестпрограмм</w:t>
      </w:r>
    </w:p>
    <w:p w14:paraId="42AC20F3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Правительство обновило правила формирования инвестпрограмм в сфере водоснабжения. Новые подходы могут напрямую повлиять на рост тарифов</w:t>
      </w:r>
    </w:p>
    <w:p w14:paraId="6078D940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Власти скорректировали требования к инвестиционным и производственным программам организаций, работающих в сфере водоснабжения и водоотведения. Изменения существенно расширяют перечень расходов, которые теперь официально можно включать в такие программы.</w:t>
      </w:r>
    </w:p>
    <w:p w14:paraId="17335753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Теперь в состав инвестпрограмм будут входить не только строительство и реконструкция объектов, но и затраты на цифровые решения, автоматизированные системы учёта, экологические проекты и развитие ИТ-инфраструктуры.</w:t>
      </w:r>
    </w:p>
    <w:p w14:paraId="27A9D449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Также закреплён обязательный перечень мероприятий, которые должны учитываться при формировании программ. В него включены работы по ликвидации аварий, подключению новых объектов, выполнению экологических требований и реализации концессионных соглашений.</w:t>
      </w:r>
    </w:p>
    <w:p w14:paraId="3941B2C9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Дополнительно инвестпрограммы увязывают с регуляторными соглашениями, чтобы синхронизировать сроки и обязательства и избежать разрывов при их реализации.</w:t>
      </w:r>
    </w:p>
    <w:p w14:paraId="2874A0B0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Фактически речь идёт о расширении базы расходов, учитываемых при формировании тарифов. Если ранее часть затрат относилась к текущей деятельности, то теперь они будут официально включаться в инвестпрограммы, которые напрямую влияют на тарифное регулирование.</w:t>
      </w:r>
    </w:p>
    <w:p w14:paraId="1D454759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Отдельно вводится категория срочных мероприятий, позволяющая быстрее закладывать расходы на ремонт изношенных сетей. Это даёт возможность оперативнее корректировать тарифы при необходимости.</w:t>
      </w:r>
    </w:p>
    <w:p w14:paraId="05CED8C8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lastRenderedPageBreak/>
        <w:t>Новые правила начнут применяться с 1 сентября 2026 года и, как ожидается, приведут к росту тарифной базы в отрасли.</w:t>
      </w:r>
    </w:p>
    <w:p w14:paraId="6B5F3404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----------------------------------------------------------------------------------------------------------------------------------</w:t>
      </w:r>
    </w:p>
    <w:p w14:paraId="3E5B629B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</w:p>
    <w:p w14:paraId="52E2B68A" w14:textId="77777777" w:rsidR="00493D0C" w:rsidRPr="00493D0C" w:rsidRDefault="00493D0C" w:rsidP="00493D0C">
      <w:pPr>
        <w:spacing w:after="360" w:line="240" w:lineRule="auto"/>
        <w:outlineLvl w:val="0"/>
        <w:rPr>
          <w:rFonts w:ascii="Times New Roman" w:eastAsia="Times New Roman" w:hAnsi="Times New Roman"/>
          <w:b/>
          <w:bCs/>
          <w:color w:val="002060"/>
          <w:kern w:val="36"/>
          <w:sz w:val="36"/>
          <w:szCs w:val="36"/>
          <w:u w:val="single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002060"/>
          <w:kern w:val="36"/>
          <w:sz w:val="36"/>
          <w:szCs w:val="36"/>
          <w:u w:val="single"/>
          <w:lang w:eastAsia="ru-RU"/>
        </w:rPr>
        <w:t>Регионам ужесточат правила получения субсидий на ЖКХ</w:t>
      </w:r>
    </w:p>
    <w:p w14:paraId="5E81AAFE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Власти пересматривают порядок предоставления субсидий регионам на развитие ЖКХ и коммунальной инфраструктуры, сокращая возможности для их получения и усиливая требования к результатам.</w:t>
      </w:r>
    </w:p>
    <w:p w14:paraId="2F89AA77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Основные изменения:</w:t>
      </w:r>
    </w:p>
    <w:p w14:paraId="4F5D690D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- Доступ к финансированию существенно ограничивают: теперь основанием для выделения средств станет только наличие прямого поручения президента или председателя правительства. Ранее таких оснований было больше.</w:t>
      </w:r>
    </w:p>
    <w:p w14:paraId="4D93FF0C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- Усиливается контроль за эффективностью расходов — внимание будет уделяться не только планам, но и фактическому объёму построенных и отремонтированных объектов.</w:t>
      </w:r>
    </w:p>
    <w:p w14:paraId="41AC5BB5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- Ускоряется механизм возврата средств: если к 1 сентября регион освоил менее 75% выделенного бюджета, деньги смогут изъять и перераспределить.</w:t>
      </w:r>
    </w:p>
    <w:p w14:paraId="0C46FB42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- Исключается возможность получать субсидии под мероприятия, связанные с памятными датами — такие проекты больше не будут считаться основанием для финансирования.</w:t>
      </w:r>
    </w:p>
    <w:p w14:paraId="1A21D7EA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 результате общий доступ регионов к средствам на ЖКХ может сократиться, а требования к их использованию станут более жёсткими. В первую очередь это затронет субъекты, где проекты реализуются медленно или не имеют федеральной поддержки.</w:t>
      </w:r>
    </w:p>
    <w:p w14:paraId="1F64E3AF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Ожидается, что перераспределение средств будет происходить в пользу приоритетных направлений, тогда как часть регионов рискует остаться без финансирования. Это может привести к снижению объёмов ремонта и строительства в коммунальной сфере.</w:t>
      </w:r>
    </w:p>
    <w:p w14:paraId="7C7F6279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Ранее Счётная палата также указывала, что при распределении субсидий чаще учитываются количественные показатели, а не реальное улучшение состояния инфраструктуры, что дополнительно подчёркивает необходимость изменений в системе.</w:t>
      </w:r>
    </w:p>
    <w:p w14:paraId="3DF1BB1C" w14:textId="77777777" w:rsidR="00493D0C" w:rsidRPr="00493D0C" w:rsidRDefault="00493D0C" w:rsidP="00493D0C">
      <w:pPr>
        <w:spacing w:after="0"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----------------------------------------------------------------------------------------------------------------------------------</w:t>
      </w:r>
    </w:p>
    <w:p w14:paraId="7DA40473" w14:textId="77777777" w:rsidR="00493D0C" w:rsidRPr="00493D0C" w:rsidRDefault="00493D0C" w:rsidP="00493D0C">
      <w:pPr>
        <w:spacing w:after="360" w:line="240" w:lineRule="auto"/>
        <w:outlineLvl w:val="0"/>
        <w:rPr>
          <w:rFonts w:ascii="Times New Roman" w:eastAsia="Times New Roman" w:hAnsi="Times New Roman"/>
          <w:b/>
          <w:bCs/>
          <w:color w:val="002060"/>
          <w:kern w:val="36"/>
          <w:sz w:val="36"/>
          <w:szCs w:val="36"/>
          <w:u w:val="single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002060"/>
          <w:kern w:val="36"/>
          <w:sz w:val="36"/>
          <w:szCs w:val="36"/>
          <w:u w:val="single"/>
          <w:lang w:eastAsia="ru-RU"/>
        </w:rPr>
        <w:t>ФАС получила право пересматривать тарифы на электроэнергию</w:t>
      </w:r>
    </w:p>
    <w:p w14:paraId="184BA378" w14:textId="77777777" w:rsidR="00493D0C" w:rsidRPr="00493D0C" w:rsidRDefault="00493D0C" w:rsidP="00493D0C">
      <w:pPr>
        <w:spacing w:after="0" w:line="259" w:lineRule="auto"/>
        <w:jc w:val="both"/>
        <w:rPr>
          <w:rFonts w:ascii="Times New Roman" w:eastAsiaTheme="minorHAnsi" w:hAnsi="Times New Roman"/>
          <w:b/>
          <w:bCs/>
          <w:color w:val="FFFFFF"/>
          <w:sz w:val="24"/>
          <w:szCs w:val="24"/>
          <w:shd w:val="clear" w:color="auto" w:fill="224164"/>
        </w:rPr>
      </w:pPr>
      <w:r w:rsidRPr="00493D0C">
        <w:rPr>
          <w:rFonts w:ascii="Times New Roman" w:eastAsiaTheme="minorHAnsi" w:hAnsi="Times New Roman"/>
          <w:b/>
          <w:bCs/>
          <w:color w:val="FFFFFF"/>
          <w:sz w:val="24"/>
          <w:szCs w:val="24"/>
          <w:shd w:val="clear" w:color="auto" w:fill="224164"/>
        </w:rPr>
        <w:t>Президент подписал закон об усилении контроля за тарифами в электроэнергетике. ФАС сможет напрямую вмешиваться в ценообразование в регионах</w:t>
      </w:r>
    </w:p>
    <w:p w14:paraId="28CAF774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В России принят закон, расширяющий полномочия Федеральной антимонопольной службы в сфере тарифного регулирования электроэнергии. Документ подписан президентом и направлен на повышение устойчивости системы ценообразования в регионах.</w:t>
      </w:r>
    </w:p>
    <w:p w14:paraId="0D83F436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Теперь ФАС сможет самостоятельно пересматривать предельные уровни цен на розничных рынках электроэнергии. Такое вмешательство возможно в случаях, когда региональные органы регулирования неоднократно в течение года игнорируют решения или предписания службы.</w:t>
      </w:r>
    </w:p>
    <w:p w14:paraId="1A3C71A5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Речь идёт, в том числе, о ситуациях, выявленных по итогам проверок или досудебных споров, когда субъекты не приводят тарифы в соответствие с действующим законодательством.</w:t>
      </w:r>
    </w:p>
    <w:p w14:paraId="1BE078FF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Фактически федеральный регулятор получает инструмент прямого воздействия на тарифную политику регионов, если те не исполняют установленные требования.</w:t>
      </w:r>
    </w:p>
    <w:p w14:paraId="0D8E8F01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Кроме того, закон закрепляет правовой статус федеральной информационной системы «Тариф», которая станет единой площадкой для обмена данными в сфере тарифного регулирования. Оператором системы определена ФАС.</w:t>
      </w:r>
    </w:p>
    <w:p w14:paraId="3110CDF7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Документ был принят Госдумой в марте 2026 года и одобрен Советом Федерации, после чего вступил в завершающую стадию утверждения.</w:t>
      </w:r>
    </w:p>
    <w:p w14:paraId="6CBA43D6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Ожидается, что новые полномочия позволят повысить дисциплину региональных органов и сделать регулирование тарифов более единообразным по всей стране.</w:t>
      </w:r>
    </w:p>
    <w:p w14:paraId="40C9510B" w14:textId="77777777" w:rsidR="00493D0C" w:rsidRPr="00493D0C" w:rsidRDefault="00493D0C" w:rsidP="00493D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2060"/>
          <w:sz w:val="24"/>
          <w:szCs w:val="24"/>
          <w:u w:val="single"/>
          <w:lang w:eastAsia="ru-RU"/>
        </w:rPr>
      </w:pPr>
      <w:r w:rsidRPr="00493D0C">
        <w:rPr>
          <w:rFonts w:ascii="Times New Roman" w:eastAsia="Times New Roman" w:hAnsi="Times New Roman"/>
          <w:b/>
          <w:bCs/>
          <w:color w:val="002060"/>
          <w:sz w:val="24"/>
          <w:szCs w:val="24"/>
          <w:u w:val="single"/>
          <w:lang w:eastAsia="ru-RU"/>
        </w:rPr>
        <w:lastRenderedPageBreak/>
        <w:t>----------------------------------------------------------------------------------------------------------------------------------</w:t>
      </w:r>
    </w:p>
    <w:p w14:paraId="0636E6D8" w14:textId="77777777" w:rsidR="00493D0C" w:rsidRPr="00493D0C" w:rsidRDefault="00493D0C" w:rsidP="00493D0C">
      <w:pPr>
        <w:spacing w:after="0"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BFEADA0" w14:textId="63942656" w:rsidR="00493D0C" w:rsidRPr="00493D0C" w:rsidRDefault="00493D0C" w:rsidP="00493D0C">
      <w:pPr>
        <w:pStyle w:val="a3"/>
        <w:numPr>
          <w:ilvl w:val="0"/>
          <w:numId w:val="3"/>
        </w:numPr>
        <w:spacing w:line="259" w:lineRule="auto"/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</w:pPr>
      <w:bookmarkStart w:id="1" w:name="_Hlk226195786"/>
      <w:r w:rsidRPr="00493D0C"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  <w:t>На какие вопросы по управлению МКД ответили ГЖИ в I квартале 2026 года</w:t>
      </w:r>
    </w:p>
    <w:bookmarkEnd w:id="1"/>
    <w:p w14:paraId="64579DC0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 xml:space="preserve">Собрали в статье интересные УО, жителям разъяснения органов </w:t>
      </w:r>
      <w:proofErr w:type="spellStart"/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Госжилнадзора</w:t>
      </w:r>
      <w:proofErr w:type="spellEnd"/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, которые ведомства опубликовали на своих сайтах за январь–март 2026 года. Узнайте, кто платит за долги по проданной квартире, можно ли огородить места для парковки у МКД и по какой площади рассчитывается плата за КР на СОИ.</w:t>
      </w:r>
    </w:p>
    <w:p w14:paraId="104BCBA9" w14:textId="77777777" w:rsidR="00493D0C" w:rsidRPr="00493D0C" w:rsidRDefault="00493D0C" w:rsidP="00493D0C">
      <w:pPr>
        <w:spacing w:line="259" w:lineRule="auto"/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</w:rPr>
      </w:pPr>
      <w:r w:rsidRPr="00493D0C">
        <w:rPr>
          <w:rFonts w:asciiTheme="minorHAnsi" w:eastAsiaTheme="minorHAnsi" w:hAnsiTheme="minorHAnsi" w:cstheme="minorBidi"/>
          <w:b/>
          <w:bCs/>
          <w:color w:val="002060"/>
          <w:sz w:val="32"/>
          <w:szCs w:val="32"/>
          <w:u w:val="single"/>
        </w:rPr>
        <w:t>Обязан ли собственник квартиры в МКД оплачивать долги предыдущего хозяина</w:t>
      </w:r>
    </w:p>
    <w:p w14:paraId="46D0BE01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Орган ГЖН Ставропольского края разъяснил, что, согласно ч. 2 ст. 153 ЖК РФ обязанность по внесению платы за ЖКУ возникает у собственника помещения с момента регистрации прав на помещение. Поэтому долги, образовавшиеся у предыдущего владельца, остаются за ним, если иное прямо не предусмотрено договором купли-продажи.</w:t>
      </w:r>
    </w:p>
    <w:p w14:paraId="5115FB4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Предъявление в платёжном документе новому собственнику задолженности предыдущего является нарушением законодательства. Взыскивать эти деньги в судебном порядке исполнитель услуг должен с бывшего собственника.</w:t>
      </w:r>
    </w:p>
    <w:p w14:paraId="53551D71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Исключение – взносы на капитальный ремонт. В соответствии с ч. 3 ст. 158 ЖК РФ, обязанность по ним, в том числе неоплаченные суммы, переходят к новому владельцу вместе с правом на помещение.</w:t>
      </w:r>
    </w:p>
    <w:p w14:paraId="03576BAB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Поэтому ГЖИ рекомендует при покупке квартиры заранее:</w:t>
      </w:r>
    </w:p>
    <w:p w14:paraId="4BCA3D0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запросить у продавца справки об отсутствии задолженности;</w:t>
      </w:r>
    </w:p>
    <w:p w14:paraId="2893774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зафиксировать показания индивидуальных приборов учёта на момент перехода права собственности.</w:t>
      </w:r>
    </w:p>
    <w:p w14:paraId="3C53BACE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----------------------------------------------------------------------------------------------------------------------------------</w:t>
      </w:r>
    </w:p>
    <w:p w14:paraId="73324CC5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Могут ли владельцы автомобилей огораживать парковочные места на придомовой территории МКД</w:t>
      </w:r>
    </w:p>
    <w:p w14:paraId="6BB81CE5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На вопрос о парковке ответила ГЖИ Коми. Придомовая территория многоквартирного дома входит в состав общего имущества собственников помещений (ч. 1 ст. 36 ЖК РФ). Поэтому присвоение одним или несколькими жителями отдельных участков двора под личные нужды является неправомерным.</w:t>
      </w:r>
    </w:p>
    <w:p w14:paraId="11397CCC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Собственник вправе установить физическое ограждение парковочного места только после получения согласия всех владельцев помещений в доме. Даже в этом случае он не может запретить другим ставить свои автомобили на огороженное место.</w:t>
      </w:r>
    </w:p>
    <w:p w14:paraId="65755E7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Чтобы избежать споров, следует:</w:t>
      </w:r>
    </w:p>
    <w:p w14:paraId="62B622EB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- провести ОСС и принять решение об обустройстве или расширении парковки для общего пользования;</w:t>
      </w:r>
    </w:p>
    <w:p w14:paraId="00667ED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- установить шлагбаум или другие заграждения при условии обеспечения равного доступа к парковке для всех собственников помещений.</w:t>
      </w:r>
    </w:p>
    <w:p w14:paraId="771CE66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Нельзя ограничивать доступ к парковочным местам кому-либо из собственников, даже если они не участвовали в обустройстве парковки или не оплачивали её создание. Они имеют равные права на использование такого объекта.</w:t>
      </w:r>
    </w:p>
    <w:p w14:paraId="2ABFF7A1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----------------------------------------------------------------------------------------------------------------------------------</w:t>
      </w:r>
    </w:p>
    <w:p w14:paraId="218BA73E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Обязательно ли ликвидировать ТСЖ при переходе к управляющей организации</w:t>
      </w:r>
    </w:p>
    <w:p w14:paraId="059BC181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Орган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Госжилнадзора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в Коми разъяснил, что ликвидация ТСЖ не является обязательной при смене способа управления на специализированную организацию с лицензией. Товарищество как юридическое лицо продолжает существовать до тех пор, пока собственники не примут решение о его упразднении в установленном порядке.</w:t>
      </w:r>
    </w:p>
    <w:p w14:paraId="435B2C6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Согласно по ч. 2 ст. 61 ГК РФ, заключение договора с УО может считаться основанием для добровольной ликвидации ТСЖ по инициативе собственников или членов товарищества:</w:t>
      </w:r>
    </w:p>
    <w:p w14:paraId="1BC28020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Если участники объединения обладают более 50% от общего числа голосов собственников в доме, решение о ликвидации принимается на их общем собрании квалифицированным большинством.</w:t>
      </w:r>
    </w:p>
    <w:p w14:paraId="0FB9FAE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ином случае за ликвидацию юрлица должны проголосовать владельцы помещений в МКД – большинством голосов от числа присутствующих.</w:t>
      </w:r>
    </w:p>
    <w:p w14:paraId="6CDB615B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На этом же собрании назначается ликвидационная комиссия, устанавливаются порядок и сроки ликвидации. Решение оформляется протоколом, а процедура проводится в соответствии с Гражданским кодексом РФ и Жилищным кодексом РФ.</w:t>
      </w:r>
    </w:p>
    <w:p w14:paraId="3732E06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----------------------------------------------------------------------------------------------------------------------------------</w:t>
      </w:r>
    </w:p>
    <w:p w14:paraId="35D7FBD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В чём разница между переустройством и перепланировкой помещения в МКД</w:t>
      </w:r>
    </w:p>
    <w:p w14:paraId="39E4CC2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Теме посвятил отдельную публикацию орган ГЖН Санкт-Петербурга, указав, что Жилищный кодекс РФ чётко разделяет эти два понятия (ст. 25 ЖК РФ).</w:t>
      </w:r>
    </w:p>
    <w:p w14:paraId="1977FF35" w14:textId="77777777" w:rsidR="00493D0C" w:rsidRPr="00493D0C" w:rsidRDefault="00493D0C" w:rsidP="00493D0C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Перепланировка – изменение конфигурации помещения. Это снос или возведение перегородок, объединение кухни и комнаты, перенос дверных проёмов, изменение площади помещений. Такие работы отражаются в техническом паспорте квартиры.</w:t>
      </w:r>
    </w:p>
    <w:p w14:paraId="2B865957" w14:textId="77777777" w:rsidR="00493D0C" w:rsidRPr="00493D0C" w:rsidRDefault="00493D0C" w:rsidP="00493D0C">
      <w:pPr>
        <w:numPr>
          <w:ilvl w:val="0"/>
          <w:numId w:val="2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Переустройство – это изменение инженерных систем и оборудования, то есть замена или перенос сантехники, радиаторов отопления, газового оборудования. Эти работы также влияют на общее имущество дома и его безопасность.</w:t>
      </w:r>
    </w:p>
    <w:p w14:paraId="5C1E2436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И перепланировка, и переустройство требуют предварительного согласования в установленном порядке. При его отсутствии собственнику грозят административная ответственность, обязанность привести помещение в первоначальное состояние, судебные разбирательства.</w:t>
      </w:r>
    </w:p>
    <w:p w14:paraId="0B60220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----------------------------------------------------------------------------------------------------------------------------------</w:t>
      </w:r>
    </w:p>
    <w:p w14:paraId="020559E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Почему площадь подвалов и чердаков не учитывается при расчёте за КР на СОИ по холодному водоснабжению</w:t>
      </w:r>
    </w:p>
    <w:p w14:paraId="2256CF15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Как рассказали в ГЖИ Амурской области, при определении объёма холодной воды, приходящегося на жилое или нежилое помещение для содержания общего имущества, площадь помещений определяется строго по перечню, установленному п. 17 прил. № 2 к Правилам № 354:</w:t>
      </w:r>
    </w:p>
    <w:p w14:paraId="77531C2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межквартирные лестничные площадки,</w:t>
      </w:r>
    </w:p>
    <w:p w14:paraId="4A6B74CF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лестницы,</w:t>
      </w:r>
    </w:p>
    <w:p w14:paraId="176CFA0D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коридоры,</w:t>
      </w:r>
    </w:p>
    <w:p w14:paraId="4AC177D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тамбуры,</w:t>
      </w:r>
    </w:p>
    <w:p w14:paraId="7B1EAED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холлы,</w:t>
      </w:r>
    </w:p>
    <w:p w14:paraId="63268276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вестибюли,</w:t>
      </w:r>
    </w:p>
    <w:p w14:paraId="5767DB95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колясочные,</w:t>
      </w:r>
    </w:p>
    <w:p w14:paraId="465FC07D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помещения охраны, консьержа.</w:t>
      </w:r>
    </w:p>
    <w:p w14:paraId="626861AF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Перечень является закрытым, поэтому </w:t>
      </w:r>
      <w:r w:rsidRPr="00493D0C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подвалы и чердаки не включаются в расчёт площади общего имущества при определении платы за холодное водоснабжение на СОИ</w:t>
      </w: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. При этом, при оплате КР на общедомовое энергоснабжение учитывается освещаемая площадь помещений в МКД, включая чердаки и подвалы.</w:t>
      </w:r>
    </w:p>
    <w:p w14:paraId="2C0CE783" w14:textId="4AE972D5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  <w:t>----------------------------------------------------------------------------------------------------------------------------------</w:t>
      </w:r>
    </w:p>
    <w:p w14:paraId="6624A8AF" w14:textId="6EFEA806" w:rsidR="00493D0C" w:rsidRPr="00493D0C" w:rsidRDefault="00493D0C" w:rsidP="00493D0C">
      <w:pPr>
        <w:pStyle w:val="a3"/>
        <w:numPr>
          <w:ilvl w:val="0"/>
          <w:numId w:val="2"/>
        </w:numPr>
        <w:spacing w:line="259" w:lineRule="auto"/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  <w:t>Как правильно отразить в договоре управления индексацию его цены</w:t>
      </w:r>
    </w:p>
    <w:p w14:paraId="27682156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Одним из основных условий договора управления МКД между управляющей организацией и собственниками помещений является цена такого договора. Узнайте, как правильно прописать цену договора и методику её индексации на весь срок его действия, нужно ли получать разрешение собственников помещений МКД на изменение цены договора.</w:t>
      </w:r>
    </w:p>
    <w:p w14:paraId="60D398F6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Что входит в цену договора управления</w:t>
      </w:r>
    </w:p>
    <w:p w14:paraId="30A0027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договоре управления обязательно должна быть указана цена договора и порядок её определения (ч. 3 ст. 162 ЖК РФ). Она равна сумме, которую собственники должны заплатить управляющей организации за содержание и текущий ремонт общего имущества дома за весь срок действия договора, а также за управление домом и оказание коммунальных услуг (ст. 154 ЖК РФ).</w:t>
      </w:r>
    </w:p>
    <w:p w14:paraId="058B54B1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При этом, согласно ч. 3 ст. 162 ЖК РФ, под ценой договора подразумевается не конкретная цифра, а методика расчёта стоимости работ и услуг, указанных в приложенном к договору управления перечне. Стоимость работ и услуг по договору управления входит в общую стоимость содержания жилого помещения (ст. 154 ЖК РФ). Размер платы за содержание и ремонт помещений в МКД, находящихся в управлении УО, устанавливается на ОСС:</w:t>
      </w:r>
    </w:p>
    <w:p w14:paraId="4D3CCC63" w14:textId="77777777" w:rsidR="00493D0C" w:rsidRPr="00493D0C" w:rsidRDefault="00493D0C" w:rsidP="00493D0C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не менее чем на один год;</w:t>
      </w:r>
    </w:p>
    <w:p w14:paraId="3079D3BF" w14:textId="77777777" w:rsidR="00493D0C" w:rsidRPr="00493D0C" w:rsidRDefault="00493D0C" w:rsidP="00493D0C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 учётом предложений управляющей организации;</w:t>
      </w:r>
    </w:p>
    <w:p w14:paraId="4CBD21CC" w14:textId="77777777" w:rsidR="00493D0C" w:rsidRPr="00493D0C" w:rsidRDefault="00493D0C" w:rsidP="00493D0C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исходя из перечня услуг и работ по содержанию и ремонту общего имущества в МКД (ч. 7 ст. 156 ЖК </w:t>
      </w:r>
      <w:proofErr w:type="spellStart"/>
      <w:proofErr w:type="gram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РФ,п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.</w:t>
      </w:r>
      <w:proofErr w:type="gram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31 разд. III ПП РФ № 491).</w:t>
      </w:r>
    </w:p>
    <w:p w14:paraId="0EC6800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Как прописать в договоре управления индексацию цены</w:t>
      </w:r>
    </w:p>
    <w:p w14:paraId="702A5C1D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При заключении договора УО следует оценить стоимость работ и услуг, входящих в перечень работ и услуг, который является неотъемлемой частью договора управления. Эту стоимость необходимо внести на первый год действия договора. Для определения цены на следующие годы </w:t>
      </w: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в договоре нужно зафиксировать схему её индексации и основания для применения установленного индекса.</w:t>
      </w:r>
    </w:p>
    <w:p w14:paraId="241CC0FE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Индексация цены договора может производиться следующими методами:</w:t>
      </w:r>
    </w:p>
    <w:p w14:paraId="7E249EDF" w14:textId="77777777" w:rsidR="00493D0C" w:rsidRPr="00493D0C" w:rsidRDefault="00493D0C" w:rsidP="00493D0C">
      <w:pPr>
        <w:numPr>
          <w:ilvl w:val="0"/>
          <w:numId w:val="5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На уровень инфляции потребительских цен, который устанавливается на предстоящий год при утверждении федерального бюджета.</w:t>
      </w:r>
    </w:p>
    <w:p w14:paraId="5DEFBF9B" w14:textId="77777777" w:rsidR="00493D0C" w:rsidRPr="00493D0C" w:rsidRDefault="00493D0C" w:rsidP="00493D0C">
      <w:pPr>
        <w:numPr>
          <w:ilvl w:val="0"/>
          <w:numId w:val="5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На индекс потребительских цен, рассчитываемый Госкомстатом РФ за каждый предыдущий год в целом по стране, или в целом по товарам и услугам, или отдельно по группе услуг «жилищно-коммунальные услуги».</w:t>
      </w:r>
    </w:p>
    <w:p w14:paraId="51967B0B" w14:textId="77777777" w:rsidR="00493D0C" w:rsidRPr="00493D0C" w:rsidRDefault="00493D0C" w:rsidP="00493D0C">
      <w:pPr>
        <w:numPr>
          <w:ilvl w:val="0"/>
          <w:numId w:val="5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На индекс, определяемый согласованным сторонами договора расчётным путём.</w:t>
      </w:r>
    </w:p>
    <w:p w14:paraId="14FB37C1" w14:textId="77777777" w:rsidR="00493D0C" w:rsidRPr="00493D0C" w:rsidRDefault="00493D0C" w:rsidP="00493D0C">
      <w:pPr>
        <w:numPr>
          <w:ilvl w:val="0"/>
          <w:numId w:val="5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На фиксированный индекс роста платы, согласованный сторонами договора в установленном размере.</w:t>
      </w:r>
    </w:p>
    <w:p w14:paraId="0496AA0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Вариант пункта договора о его цене и методике индексации может быть таким: «Планово-договорная стоимость работ, услуг, включённых в Перечень работ, услуг, на каждый год действия договора определяется: на дату заключения договора – в разделе Приложения № __ к договору, во второй и последующие годы действия договора такая стоимость ежегодно индексируется на (указывается индекс/методика)».</w:t>
      </w:r>
    </w:p>
    <w:p w14:paraId="230589E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6879DE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Если в перечне работ и услуг оплата отдельных работ по текущему ремонту ОИ МКД предусмотрена с помощью создания резервов средств на текущий ремонт, стоимость таких работ определяется с учётом ежегодной индексации суммы резерва. При этом в договоре управления необходимо указать порядок учёта и расходования таких средств.</w:t>
      </w:r>
    </w:p>
    <w:p w14:paraId="3BC1C25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Нужно ли согласие собственников для индексации цены договора</w:t>
      </w:r>
    </w:p>
    <w:p w14:paraId="134892FE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Управляющие организации не всегда понимают, необходимо ли согласие ОСС на изменение цены договора управления на следующий год, если в нём зафиксирована методика индексации.</w:t>
      </w:r>
    </w:p>
    <w:p w14:paraId="623BCD86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До 2012 года суды, рассматривая споры о повышении тарифов на услуги УО без проведения ОСС при прописанной в договоре методике индексации, руководствовались письмом Министерства регионального развития РФ от 06.03.2009 № 6174-АД/14.</w:t>
      </w:r>
    </w:p>
    <w:p w14:paraId="2B4870D0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В письме уточнялось, что индексация цен, прописанная в ДУ, законна без решения ОСС при наличии указанных в договоре оснований: изменения уровня инфляции, уровня потребительских цен или значений, рассчитываемых на основании совокупности указанных показателей и т. </w:t>
      </w:r>
      <w:proofErr w:type="gram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д..</w:t>
      </w:r>
      <w:proofErr w:type="gramEnd"/>
    </w:p>
    <w:p w14:paraId="151C9AF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Но в 2012 году это письмо было отозвано. С тех пор суды по таким спорам выносят противоречивые решения. К положительной практике, где суды вставали на сторону УО, можно отнести:</w:t>
      </w:r>
    </w:p>
    <w:p w14:paraId="05714FBF" w14:textId="77777777" w:rsidR="00493D0C" w:rsidRPr="00493D0C" w:rsidRDefault="00493D0C" w:rsidP="00493D0C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постановление Арбитражного суда Дальневосточного округа от 26.11.2014 № Ф03-4779/2014 по делу № А73-4023/2014;</w:t>
      </w:r>
    </w:p>
    <w:p w14:paraId="670D0257" w14:textId="77777777" w:rsidR="00493D0C" w:rsidRPr="00493D0C" w:rsidRDefault="00493D0C" w:rsidP="00493D0C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постановление Арбитражного суда Волго-Вятского округа от 19.06.2015 г. № Ф01-1860/15 по делу N А29-7699/2014;</w:t>
      </w:r>
    </w:p>
    <w:p w14:paraId="791FA708" w14:textId="77777777" w:rsidR="00493D0C" w:rsidRPr="00493D0C" w:rsidRDefault="00493D0C" w:rsidP="00493D0C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апелляционное определение Кировского областного суда от 23.09.2014 по делу № 33-3326/2014.</w:t>
      </w:r>
    </w:p>
    <w:p w14:paraId="4E57DF8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Все инстанции указывали на право управляющих организаций провести индексацию цен в одностороннем порядке, без созыва ОСС, если в договоре управления была чётко прописана процедура индексации и её основания.</w:t>
      </w:r>
    </w:p>
    <w:p w14:paraId="1C27478A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Встречаются и противоположные решения, где суд указывал на то, что письмо № 6174-АД/14 отозвано и не может применяться при составлении договоров управления. Следовательно, согласно ч. 7 ст. 156 ЖК РФ, УО для индексации цены договора должна получить согласие собственников помещений МКД вне зависимости от наличия в договоре управления пункта о порядке индексирования. Пример такого решения – апелляционное определение Воронежского областного суда от 17.07.2014 № 33-3550.</w:t>
      </w:r>
    </w:p>
    <w:p w14:paraId="29F03886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Поэтому, чтобы не получить предписание органа ГЖН и не быть втянутой в судебное разбирательство, УО следует выносить вопрос изменения стоимости работ и услуг на общее собрание собственников, даже если в документе прописан порядок индексации и основания для применения индекса.</w:t>
      </w:r>
    </w:p>
    <w:p w14:paraId="7FB539C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Например, в договоре можно указать, что за два месяца до истечения срока действия перечня работ и услуг, указанного в договоре управления, УО готовит проект нового перечня на следующий год с указанием индексированной стоимости работ и услуг по содержанию ОИ МКД. Проект перечня работ и услуг на новый год выносится на общее собрание собственников, инициатором которого выступает управляющая организация.</w:t>
      </w:r>
    </w:p>
    <w:p w14:paraId="667683F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BB1CAE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договоре следует предусмотреть действия УО в том случае, если инициированное управляющей организацией ОСС не состоялось из-за отсутствия кворума, установленного в ч. 1 ст. 46 ЖК РФ.</w:t>
      </w:r>
    </w:p>
    <w:p w14:paraId="1EC141BB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Данный пункт договора можно сформулировать следующим образом:</w:t>
      </w:r>
    </w:p>
    <w:p w14:paraId="77035FB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«В случае, если инициированное управляющей организацией общее собрание собственников помещений не состоялось по причине отсутствия кворума, установленного в п. 1 ст. 46 ЖК РФ, управляющая организация вправе без согласования с собственниками помещений к ранее установленной в Перечне на предыдущий год стоимости работ (услуг) применить индексацию с учётом величины индекса роста потребительских цен, определенной Министерством экономического развития РФ на соответствующий год (или любая другая экономически обоснованная формула)».</w:t>
      </w:r>
    </w:p>
    <w:p w14:paraId="577B3BC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УО следует запомнить</w:t>
      </w:r>
    </w:p>
    <w:p w14:paraId="2DB134E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Управляющей организации следует чётко прописать в договоре управления следующие пункты, касающиеся стоимости договора:</w:t>
      </w:r>
    </w:p>
    <w:p w14:paraId="02478C8A" w14:textId="77777777" w:rsidR="00493D0C" w:rsidRPr="00493D0C" w:rsidRDefault="00493D0C" w:rsidP="00493D0C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планово-договорную стоимость услуг и работ согласно перечню на первый год действия договора управления;</w:t>
      </w:r>
    </w:p>
    <w:p w14:paraId="0DE73EF6" w14:textId="77777777" w:rsidR="00493D0C" w:rsidRPr="00493D0C" w:rsidRDefault="00493D0C" w:rsidP="00493D0C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методику и основания индексации стоимости договора на последующие годы действия договора;</w:t>
      </w:r>
    </w:p>
    <w:p w14:paraId="7B671904" w14:textId="77777777" w:rsidR="00493D0C" w:rsidRPr="00493D0C" w:rsidRDefault="00493D0C" w:rsidP="00493D0C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порядок утверждения цен на содержание и ремонт ОИ МКД после индексации;</w:t>
      </w:r>
    </w:p>
    <w:p w14:paraId="3D37A165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действия УО в случае, если ОСС не приняло решение о новой стоимости работ и услуг по договору управления, в том числе из-за отсутствия кворума.</w:t>
      </w:r>
    </w:p>
    <w:p w14:paraId="1A376BBF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Такая предусмотрительность позволит УО при необходимости после первого года управления домом индексировать тарифы на содержание и ремонт ОИ МКД без рисков быть привлечёнными к административной ответственности после проверки надзорными органами.</w:t>
      </w:r>
    </w:p>
    <w:p w14:paraId="71F844C5" w14:textId="0601FDF9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  <w:t>----------------------------------------------------------------------------------------------------------------------------------</w:t>
      </w:r>
    </w:p>
    <w:p w14:paraId="0B520570" w14:textId="0CB34DCC" w:rsidR="00493D0C" w:rsidRPr="00493D0C" w:rsidRDefault="00493D0C" w:rsidP="00493D0C">
      <w:pPr>
        <w:pStyle w:val="a3"/>
        <w:numPr>
          <w:ilvl w:val="0"/>
          <w:numId w:val="2"/>
        </w:numPr>
        <w:spacing w:line="259" w:lineRule="auto"/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  <w:lastRenderedPageBreak/>
        <w:t>Когда ГЖИ не вправе признать индексацию платы за жильё незаконной</w:t>
      </w:r>
    </w:p>
    <w:p w14:paraId="64A76331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Индексация размера платы за содержание жилого помещения, прописанная в договоре управления, – выход для УО в отсутствие решения ОСС о повышении такой платы. Но этот пункт договора может стать причиной спора с ГЖИ. На примере судебного дела разбираем, что нужно учесть УО при внесении такого условия в договор управления.</w:t>
      </w:r>
    </w:p>
    <w:p w14:paraId="04952FE9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Индексация размера платы за содержание жилья внесена в договор управления</w:t>
      </w:r>
    </w:p>
    <w:p w14:paraId="6A5BC0B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начале июня мы рассказывали, что Торгово-промышленная палата России направила в Минстрой РФ предложение об индексации цены договора управления без согласия ОСС. Авторы считают, что это необходимая мера поддержки сферы ЖКХ в текущей экономической ситуации. Минстрой России ответил, что готов рассмотреть инициативу ТПП России, но отметил, что решение будет принято после обсуждения с экспертным сообществом.</w:t>
      </w:r>
    </w:p>
    <w:p w14:paraId="5CFCA90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При этом Минстрой России напомнил, что если в договоре с управляющей организацией собственники уже прописали порядок индексации размера платы за содержание жилья, то дополнительного согласования с владельцами квартир не требуется. Эту практику в 2018 году поддержал ВС России при рассмотрении дела № А21-463/2018. Однако спустя месяц в деле № А21-6042/2018 он указал на то, что подобные действия УО противоречат законодательству.</w:t>
      </w:r>
    </w:p>
    <w:p w14:paraId="63ED8A7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Порядок индексации размера платы за содержание жилья утверждён на ОСС</w:t>
      </w:r>
    </w:p>
    <w:p w14:paraId="2AE6136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Неоднозначность норм ЖК РФ и позиций судов порождает и споры органов ГЖН с собственниками и управляющими домами организациями. Рассмотрим пример судебного дела, где ГЖИ признала незаконной индексацию размера платы за жилое помещение без проведения ОСС, хотя такое условие было в договоре управления.</w:t>
      </w:r>
    </w:p>
    <w:p w14:paraId="57825EC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УО из Дальнегорска Приморского края управляла шестнадцатью многоквартирными домами. В договорах с собственниками во всех этих МКД отдельным пунктом было прописано, что «если решение о пересмотре стоимости работ и услуг не принято общим собранием собственников, то подлежит ежегодной индексации на 13%».</w:t>
      </w:r>
    </w:p>
    <w:p w14:paraId="3F7A0F3E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Через несколько лет собственники на ОСС в одном из домов приняли решение скорректировать данный пункт договора управления и сформулировали его так: «если решение о пересмотре стоимости работ и услуг не принято общим собранием собственников, то подлежит ежегодной индексации, размер которой устанавливается согласно индекса потребительских цен, в связи с ростом потребительских цен на товары и услуги, по данным Госкомстата РФ по Приморскому краю».</w:t>
      </w:r>
    </w:p>
    <w:p w14:paraId="48A7A466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После этого УО поменяла формулировку данного пункта и в других договорах управления по всем её МКД. Тогда на действия компании в орган ГЖН пожаловались собственники помещений в одном из таких домов.</w:t>
      </w:r>
    </w:p>
    <w:p w14:paraId="625AC5F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Ведомство провело внеплановую проверку и выдала УО предписание устранить нарушения ч. 7 ст. 156 ЖК РФ, п. 31 Правил № 491,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пп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. «б» п. 3 Положения о лицензировании № 1110. УО обязали произвести перерасчёт платы собственников за содержание общего имущества из-за незаконной индексации стоимости услуг и работ. Также компанию признали виновной по ч. 2 ст. 14.1.3 </w:t>
      </w: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КоАП РФ: руководителю назначили штраф в 25 тысяч рублей, а компания получила предупреждение.</w:t>
      </w:r>
    </w:p>
    <w:p w14:paraId="4F6906DE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Индексация размера платы проведена только в том доме под управлением УО, где за неё проголосовали на ОСС</w:t>
      </w:r>
    </w:p>
    <w:p w14:paraId="0B395BB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Орган ГЖН на этом не остановился и подал иск в суд, требуя признать незаконным и нарушающим права собственников пункт договоров управления об индексации платы за содержание общего имущества в отсутствие решения ОСС (дело № А51-16274/2019).</w:t>
      </w:r>
    </w:p>
    <w:p w14:paraId="327FAED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Суд первой инстанции, рассмотрев материалы дела, отметил, что размер платы за содержание жилого помещения определяют собственники на общем собрании с учётом предложений УО и на срок не менее чем один год (ч. 7 ст. 156 ЖК РФ).</w:t>
      </w:r>
    </w:p>
    <w:p w14:paraId="6762DBD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УО представила суду решение ОСС, где собственники только одного МКД приняли решение об изменении пункта договора управления об индексации размера платы за содержание общего имущества. Но в ходе разбирательств суд установил, что корректировки внесены во все подобные договоры, заключённые компанией с жителями других МКД.</w:t>
      </w:r>
    </w:p>
    <w:p w14:paraId="5697FB3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Как отметила первая инстанция, законодательство не запрещает изменять размер платы за оказанные услуги путём индексации. Но такое решение могут принять только собственники на ОСС, утвердив чёткий порядок индексации.</w:t>
      </w:r>
    </w:p>
    <w:p w14:paraId="1F8CD3A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УО в одностороннем порядке внесла корректировки в договоры управления, не представив собственникам экономически обоснованных доказательств, что необходимо увеличить размер платы. Суд первой инстанции признал действия компании незаконными, а требования ГЖИ – обоснованными в полном объёме. Апелляционный суд его поддержал.</w:t>
      </w:r>
    </w:p>
    <w:p w14:paraId="78A09EBB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ГЖИ не выдала УО предписаний об устранении нарушений, допущенных при заключении договора управления</w:t>
      </w:r>
    </w:p>
    <w:p w14:paraId="44F66FCF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Тогда УО обратилась в суд с кассационной жалобой, считая, две предыдущие инстанции не учли, что решения о внесении изменений в договоры управления приняли собственники, и такие решения не обжалованы. Также не оспорены сами договоры, подписанные жителями МКД. К тому же орган ГЖН не вправе требовать признать спорный пункт недействительными по всем домам УО: соответствующих жалоб от граждан, проживающих в этих МКД, не поступало.</w:t>
      </w:r>
    </w:p>
    <w:p w14:paraId="3D2C260D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Если первый и апелляционный суды сосредоточились на разборе вопроса, вправе ли была УО индексировать размер платы за содержание жилья и не истёк ли срок давности для обращения ГЖИ в суд по данному вопросу, то кассационный суд рассмотрел спор с другой точки зрения.</w:t>
      </w:r>
    </w:p>
    <w:p w14:paraId="61BC8FFF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Он отметил, что, согласно ч. 6 ст. 20 ЖК РФ,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Госжилинспекция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вправе обратиться в суд с требованием признать договор управления недействительным, но только после проверки УО на предмет соблюдения обязательных требований. Если проверка выявит нарушения порядка утверждения условий договоров управления МКД и его заключения, тогда надзорное ведомство может подать иск.</w:t>
      </w:r>
    </w:p>
    <w:p w14:paraId="19ED0A3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Орган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Госжилнадзора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не смог представить суду доказательства, что проверил договоры и протоколы ОСС по всем домам в управлении компании. Также в деле суд не нашёл и копий выданных УО предписаний об устранении нарушений по данным домам, а также свидетельств, что компания их не исполнила.</w:t>
      </w:r>
    </w:p>
    <w:p w14:paraId="35ADE55B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Это, как отметил кассационный суд, исключает право ГЖИ обратиться в суд с требованием признать договоры управления недействительными. Судья отменил решения двух предыдущих </w:t>
      </w: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инстанций и отклонил иск органа ГЖН полностью. Верховный суд России, куда обратилось надзорное ведомство, не нашёл причин пересматривать это решение.</w:t>
      </w:r>
    </w:p>
    <w:p w14:paraId="6B4493D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0E7CF3B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На заметку управляющим домами</w:t>
      </w:r>
    </w:p>
    <w:p w14:paraId="1805F2A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Из анализа позиции Минстроя и Верховного суда РФ можно сделать вывод, что управляющая организация вправе прописать в договоре управления условие об индексации размера платы за содержание жилья. Но для легитимности такого пункта в договоре необходимо:</w:t>
      </w:r>
    </w:p>
    <w:p w14:paraId="373B0A46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- Утвердить такое условие ДУ на общем собрании собственников каждого дома, где оно вводится.</w:t>
      </w:r>
    </w:p>
    <w:p w14:paraId="6F05E0D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- Отправить протокол и решения ОСС в орган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Госжилнадзора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4F8F87E6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- Уведомить собственников помещений о предстоящей индексации в соответствии с принятым ими решением.</w:t>
      </w:r>
    </w:p>
    <w:p w14:paraId="505D5CB1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Если орган ГЖН всё-таки решит, что действия компании незаконны, то перед тем, как обратиться в суд, ведомство обязано провести проверку и выдать предписание, которое уже на данной стадии можно оспорить в суде, опираясь на позицию Минстроя и Верховного суда РФ.</w:t>
      </w:r>
    </w:p>
    <w:p w14:paraId="28B9DFD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деле № А51-16274/2019 УО выиграла потому, что ГЖИ нарушила процедуру оспаривания договора управления, хотя компания не провела во всех домах общие собрания по вопросу индексации размера платы.</w:t>
      </w:r>
    </w:p>
    <w:p w14:paraId="7DCD50BC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Если надзорное ведомство сделает всё необходимое – проведёт проверку, выдаст предписание и обратится в суд при бездействии УО, то оно может выиграть дело. Но только при условии, если УО не докажет, что собственники на ОСС приняли решение об ежегодной индексации размера платы.</w:t>
      </w:r>
    </w:p>
    <w:p w14:paraId="489F326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Ведь на этом условии – проведении ОСС – настаивают суды и Минстрой России. Причём провести собрание по такому вопросу нужно в каждом доме, где оно вносится в договор управления.</w:t>
      </w:r>
    </w:p>
    <w:p w14:paraId="1E5CBDA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  <w:t>----------------------------------------------------------------------------------------------------------------------------------</w:t>
      </w:r>
    </w:p>
    <w:p w14:paraId="421A1D83" w14:textId="5A789B26" w:rsidR="00B82D15" w:rsidRPr="00B82D15" w:rsidRDefault="00B82D15" w:rsidP="00B82D15">
      <w:pPr>
        <w:pStyle w:val="a3"/>
        <w:numPr>
          <w:ilvl w:val="0"/>
          <w:numId w:val="2"/>
        </w:numPr>
        <w:spacing w:line="259" w:lineRule="auto"/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</w:pPr>
      <w:r w:rsidRPr="00B82D15"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  <w:t>При каких условиях УО вправе индексировать размер платы без ОСС</w:t>
      </w:r>
    </w:p>
    <w:p w14:paraId="7EEAF2E4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color w:val="002060"/>
          <w:sz w:val="40"/>
          <w:szCs w:val="40"/>
        </w:rPr>
        <w:t>Некоторые управляющие организации</w:t>
      </w:r>
      <w:r w:rsidRPr="00B82D15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 xml:space="preserve"> сталкиваются с тем, что собственники годами отказываются повышать размер платы за содержание. И это на фоне роста НДС, цен на материалы, МРОТ и других издержек. В этом случае на помощь УО может прийти индексация. На примерах из </w:t>
      </w:r>
      <w:proofErr w:type="spellStart"/>
      <w:r w:rsidRPr="00B82D15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судпрактики</w:t>
      </w:r>
      <w:proofErr w:type="spellEnd"/>
      <w:r w:rsidRPr="00B82D15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 xml:space="preserve"> разбираем, когда она законна.</w:t>
      </w:r>
    </w:p>
    <w:p w14:paraId="16751FE6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B82D15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Порядок и условие индексации утверждены собственниками, и решение не оспорено</w:t>
      </w:r>
    </w:p>
    <w:p w14:paraId="265572D4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В Волгограде орган ГЖН в рамках лицензионного контроля проверил платёжные документы от управляющей организации и протоколы ОСС в многоквартирном доме, жители которого пожаловались на рост размера платы за жилое помещение.</w:t>
      </w:r>
    </w:p>
    <w:p w14:paraId="3722F24D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Ведомство установило, что несколько лет назад собственники на общем собрании утвердили на год ставку 18,94 рубля за 1 кв. м. Из неё впоследствии были выделены услуги по вывозу ТКО, и плата потребителей должна была уменьшиться. Но она, наоборот, выросла: несколько лет УО вела расчёты по завышенному размеру платы.</w:t>
      </w:r>
    </w:p>
    <w:p w14:paraId="52B65228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proofErr w:type="spellStart"/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Госжилинспекция</w:t>
      </w:r>
      <w:proofErr w:type="spellEnd"/>
      <w:r w:rsidRPr="00B82D15">
        <w:rPr>
          <w:rFonts w:ascii="Times New Roman" w:eastAsiaTheme="minorHAnsi" w:hAnsi="Times New Roman"/>
          <w:b/>
          <w:bCs/>
          <w:sz w:val="24"/>
          <w:szCs w:val="24"/>
        </w:rPr>
        <w:t xml:space="preserve"> выдала компании предписание о нарушении ч. 7 ст. 156, ст. 158, п. 3 ч. 3 ст. 162 ЖК РФ, п. п. 7, 31, 35 Правил № 491, п. 4 Правил № 416 – изменение существенных условий в одностороннем порядке. В договоре управления согласовано, что при отсутствии решения ОСС по новой ставке она должна обратиться в орган МСУ для установления тарифа для дома. В отсутствие такого решения – использовать ранее утверждённый с применением индекса роста потребительских цен.</w:t>
      </w:r>
    </w:p>
    <w:p w14:paraId="377AAEBC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Но орган ГЖН указал, что УО не обращалась с таким вопросом в муниципалитет, поэтому не могла повысить ставку. Ведомство потребовало сделать перерасчёт и в дальнейшем использовать утверждённый несколько лет назад размер платы за минусом стоимости вывоза ТКО. И привлекло компанию к административной ответственности по ч. 2 ст. 14.1.3 КоАП РФ со штрафом в 125 000 рублей.</w:t>
      </w:r>
    </w:p>
    <w:p w14:paraId="788E32D7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Управляющая организация с таким выводом по ситуации не согласилась и подала иск в суд (дело № А12-19267/2024). Она указала, что не обязана обращаться в орган МСУ для утверждения размера платы – этого условия нет ни в протоколе ОСС, ни в договоре. А индексация ставки, наоборот, в этих документах зафиксирована. При этом решения собрания не оспорены.</w:t>
      </w:r>
    </w:p>
    <w:p w14:paraId="02416C6D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B82D15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Условие об индексации и основания для её применения прописаны в договоре управления</w:t>
      </w:r>
    </w:p>
    <w:p w14:paraId="22E95110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Спор рассмотрели суды трёх инстанций, которые были единодушны в выводах. Они указали, что, в соответствии с ч. 7 ст. 156 ЖК РФ, размер платы в доме с УО утверждается на общем собрании собственников с учётом предложений компании на срок не менее года.</w:t>
      </w:r>
    </w:p>
    <w:p w14:paraId="6BD7A6E2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 xml:space="preserve">При этом порядок определения цены договора, размера платы за </w:t>
      </w:r>
      <w:proofErr w:type="spellStart"/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СиТР</w:t>
      </w:r>
      <w:proofErr w:type="spellEnd"/>
      <w:r w:rsidRPr="00B82D15">
        <w:rPr>
          <w:rFonts w:ascii="Times New Roman" w:eastAsiaTheme="minorHAnsi" w:hAnsi="Times New Roman"/>
          <w:b/>
          <w:bCs/>
          <w:sz w:val="24"/>
          <w:szCs w:val="24"/>
        </w:rPr>
        <w:t xml:space="preserve"> и за коммунальные услуги, порядок внесения такой платы являются существенными условиям договора управления МКД (п. 3 ч. 3 ст. 162 ЖК РФ).</w:t>
      </w:r>
    </w:p>
    <w:p w14:paraId="4B2A154D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proofErr w:type="gramStart"/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В  договоре</w:t>
      </w:r>
      <w:proofErr w:type="gramEnd"/>
      <w:r w:rsidRPr="00B82D15">
        <w:rPr>
          <w:rFonts w:ascii="Times New Roman" w:eastAsiaTheme="minorHAnsi" w:hAnsi="Times New Roman"/>
          <w:b/>
          <w:bCs/>
          <w:sz w:val="24"/>
          <w:szCs w:val="24"/>
        </w:rPr>
        <w:t xml:space="preserve"> управления, заключённом владельцами помещений в доме с компанией-истцом, чётко прописан порядок определения и изменения ставки на 1 </w:t>
      </w:r>
      <w:proofErr w:type="spellStart"/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кв.м</w:t>
      </w:r>
      <w:proofErr w:type="spellEnd"/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:</w:t>
      </w:r>
    </w:p>
    <w:p w14:paraId="288005B6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267EFAE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- устанавливается на год на общем собрании собственников с учётом поощрений для Совета МКД;</w:t>
      </w:r>
    </w:p>
    <w:p w14:paraId="7862DADF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- при отсутствии соответствующего решения по истечении срока – используется тариф, утверждаемый органом местного самоуправления;</w:t>
      </w:r>
    </w:p>
    <w:p w14:paraId="0373961A" w14:textId="77777777" w:rsidR="00B82D15" w:rsidRPr="00B82D15" w:rsidRDefault="00B82D15" w:rsidP="00B82D15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- если его нет – размер платы, принятый ранее на ОСС, с ежегодным применением индекса потребительских цен на текущий год.</w:t>
      </w:r>
    </w:p>
    <w:p w14:paraId="045204F1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Суды подчеркнули, что иного решения собственники по данному вопросу не принимали, а орган МСУ для дома размер платы не утверждал, управляющая организация применила к нему индекс потребительских цен. Таким образом, компания действовала в рамках законодательства и в соответствии с волеизъявлением владельцев помещений и договором управления.</w:t>
      </w:r>
    </w:p>
    <w:p w14:paraId="59944C71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  <w:u w:val="single"/>
        </w:rPr>
        <w:lastRenderedPageBreak/>
        <w:t>«Необходимость применения индексации носит вынужденный характер, вызвана объективными препятствиями для использования других вариантов, не зависящих от управляющей организации», – отметила кассационная инстанция.</w:t>
      </w:r>
    </w:p>
    <w:p w14:paraId="2945826A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Решение ОСС с алгоритмом увеличения размера платы не оспорено, и несогласие нескольких собственников с ним в части расчёта платы за содержание помещения не может быть основанием для признания такого порядка незаконным.</w:t>
      </w:r>
    </w:p>
    <w:p w14:paraId="6AA8DD8B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Инстанции резюмировали, что выводы органа ГЖН после проверки ошибочны: в деле не было состава административного правонарушения. Постановление ведомства и штраф отменили, а иск УО полностью удовлетворили.</w:t>
      </w:r>
    </w:p>
    <w:p w14:paraId="6B4810CF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B82D15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Механизм индексации и применяемые показатели прописаны чётко и конкретно</w:t>
      </w:r>
    </w:p>
    <w:p w14:paraId="46B9C3F1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Право управляющей организации повышать размер платы за содержание для собственников без проведения ОСС – через механизм индексации – в 2019 году подтвердил Верховный Суд России. Например, в определении от 05.07.2019 № 307-ЭС19-2677 он указал, что такое возможно, если:</w:t>
      </w:r>
    </w:p>
    <w:p w14:paraId="5F9EE05F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- порядок индексации прописан в договоре управления;</w:t>
      </w:r>
    </w:p>
    <w:p w14:paraId="6D1284F6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 xml:space="preserve"> - для изменения платы применяются официальные данные об уровне инфляции.</w:t>
      </w:r>
    </w:p>
    <w:p w14:paraId="7A83B325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63A30C9B" wp14:editId="01277A0B">
            <wp:extent cx="6645910" cy="1321863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C944B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Выдержка из определения ВС РФ от 29.10.2019 по делу № А47-2562/2018</w:t>
      </w:r>
    </w:p>
    <w:p w14:paraId="2B51D2D8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«</w:t>
      </w:r>
      <w:r w:rsidRPr="00B82D15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Если собственники не утвердили смету</w:t>
      </w: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 xml:space="preserve"> – управляющая организация вправе применить инфляционный коэффициент. Это законно, когда условие прописано в договоре, и защищает компанию от убытков при росте цен на ресурсы», – подтвердили эксперты Ассоциации «Р1», сославшись на положительное решение по делу № А45-26494/2024.</w:t>
      </w:r>
    </w:p>
    <w:p w14:paraId="7D127AE3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В случае, когда эти условия не соблюдены или формулировки в договоре расплывчаты, суды могут признать претензии жителей дома и надзорных органов в подобном споре обоснованными. Нужно, чтобы порядок индексации был чётко определён.</w:t>
      </w:r>
    </w:p>
    <w:p w14:paraId="49014F2D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Например,</w:t>
      </w: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 xml:space="preserve"> в деле № А32-35550/2021 суды отметили, что в договоре:</w:t>
      </w:r>
    </w:p>
    <w:p w14:paraId="52473CCD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«… не предусмотрен конкретный механизм индексации, не указано, применительно к уровню какого потребительского товара (услуги) должна быть учтена инфляция, не обозначен тариф, к которому она должна быть применена [...], не установлены основания [...], период использования показателей и значений, не названы конкретные органы, утверждающие такие значения».</w:t>
      </w:r>
    </w:p>
    <w:p w14:paraId="11F45AF1" w14:textId="77777777" w:rsidR="00B82D15" w:rsidRPr="00B82D15" w:rsidRDefault="00B82D15" w:rsidP="00B82D15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B82D15">
        <w:rPr>
          <w:rFonts w:ascii="Times New Roman" w:eastAsiaTheme="minorHAnsi" w:hAnsi="Times New Roman"/>
          <w:b/>
          <w:bCs/>
          <w:sz w:val="24"/>
          <w:szCs w:val="24"/>
        </w:rPr>
        <w:t>Поэтому при внесении такого условия в договор управления УО следует чётко определить механизм, не ограничиваясь формулировкой «по уровню инфляции». Как правильно прописать этот пункт, узнайте из материалов онлайн-курса «Договор управления МКД»: они размещены под отчётной статьёй.</w:t>
      </w:r>
    </w:p>
    <w:p w14:paraId="66E3B622" w14:textId="1578FF71" w:rsidR="00493D0C" w:rsidRPr="00493D0C" w:rsidRDefault="00B82D15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</w:pPr>
      <w:r w:rsidRPr="00B82D15"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  <w:lastRenderedPageBreak/>
        <w:t>----------------------------------------------------------------------------------------------------------------------------------</w:t>
      </w:r>
    </w:p>
    <w:p w14:paraId="206A14AB" w14:textId="3A086C8A" w:rsidR="00493D0C" w:rsidRPr="00493D0C" w:rsidRDefault="00493D0C" w:rsidP="00493D0C">
      <w:pPr>
        <w:pStyle w:val="a3"/>
        <w:numPr>
          <w:ilvl w:val="0"/>
          <w:numId w:val="2"/>
        </w:numPr>
        <w:spacing w:line="259" w:lineRule="auto"/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</w:pPr>
      <w:bookmarkStart w:id="2" w:name="_Hlk226195991"/>
      <w:r w:rsidRPr="00493D0C"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  <w:t>Как без суда заставить должника заплатить</w:t>
      </w:r>
    </w:p>
    <w:bookmarkEnd w:id="2"/>
    <w:p w14:paraId="20A7AB88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На фоне инфляции, роста НДС и цен УО и ТСЖ всё острее нуждаются в деньгах. Но миллионы рублей буквально «заморожены» в долгах собственников за ЖКУ. На эфире «Пульс ЖКХ» обсудили, как получить эти деньги без многомесячных судов и огромных издержек, а также заработает ли взыскание через нотариусов.</w:t>
      </w:r>
    </w:p>
    <w:p w14:paraId="5B6C37DA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Судебный приказ или нотариус</w:t>
      </w:r>
    </w:p>
    <w:p w14:paraId="61A78FEB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18 марта в новом выпуске «Пульс ЖКХ» эксперты Ассоциации «Р1»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Ирэн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Парсамян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и Елена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Шерешовец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вместе с PR-специалистом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РосКвартала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Елизаветой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Ланковской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разобрали рабочие инструменты досудебного взыскания и инициативу об исполнительной надписи нотариуса в этой сфере.</w:t>
      </w:r>
    </w:p>
    <w:p w14:paraId="74490F85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Разговор начали с главной законодательной интриги последних месяцев – проекта № 680171-8. Как пояснила Елена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Шерешовец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, его первая версия была по-настоящему опасной для рынка: разработчики предлагали полностью заменить судебные приказы:</w:t>
      </w:r>
    </w:p>
    <w:p w14:paraId="31E569C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«Нас хотели оставить только с нотариусом. Но их в России в три раза меньше, чем судей, они не разбираются в жилищном законодательстве, а главное – не хотят разбираться. Им проще отказать, чем вникать в договоры управления, расчёты по приборам учёта и тарифам. Если бы закон приняли в таком виде, взыскание долгов могло просто остановиться».</w:t>
      </w:r>
    </w:p>
    <w:p w14:paraId="49172ED6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Но рынок мгновенно отреагировал на появившийся законопроект. Юристы, управляющие организации и РСО направили по нему десятки экспертных заключений. В итоге рассмотрение документа перенесли на неопределённый срок, а ко второму чтению его сильно смягчили. В текущей версии речь идёт о дополнительном к приказам механизме. Нотариальная надпись останется правом, а не обязанностью.</w:t>
      </w:r>
    </w:p>
    <w:p w14:paraId="196CAF25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Списки должников и умные домофоны</w:t>
      </w:r>
    </w:p>
    <w:p w14:paraId="7987EB6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Как подчеркнула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Ирэн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Парсамян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, проблемы классического судебного взыскания на фоне обсуждения инициативы о нотариусах никуда не делись. При этом:</w:t>
      </w:r>
    </w:p>
    <w:p w14:paraId="6E5E4A1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- в десятки раз выросла госпошлина;</w:t>
      </w:r>
    </w:p>
    <w:p w14:paraId="324C805D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- усложнился поиск идентификаторов должников;</w:t>
      </w:r>
    </w:p>
    <w:p w14:paraId="3BE531F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- служба судебных приставов работает медленно.</w:t>
      </w:r>
    </w:p>
    <w:p w14:paraId="62B9F9A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Поэтому сегодня исполнителям ЖКУ следует сместить фокус на досудебную работу. И пока законодатели спорят, компании уже нашли способы влиять на неплательщиков без суда. </w:t>
      </w:r>
    </w:p>
    <w:p w14:paraId="13ABC60D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Елена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Шерешовец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поделилась подборкой методов, среди которых:</w:t>
      </w:r>
    </w:p>
    <w:p w14:paraId="3FD9ABA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8"/>
          <w:szCs w:val="28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8"/>
          <w:szCs w:val="28"/>
        </w:rPr>
        <w:t>Список должников.</w:t>
      </w:r>
    </w:p>
    <w:p w14:paraId="1C9AF1B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Многие УО боятся размещать такие списки из-за № 152-ФЗ о персональных данных. Но указывать только номер квартиры и сумму долга законно. Этот механизм работает за счёт социального давления: соседи видят, кто не платит, и это часто оказывается эффективнее официальных писем.</w:t>
      </w:r>
    </w:p>
    <w:p w14:paraId="7F3807B1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 xml:space="preserve">«Суды подтверждают, что по номеру квартиры идентифицировать конкретное лицо невозможно, – привела аргумент эксперт. – Есть решение Петроградского районного суда Санкт-Петербурга [от 25.03.2021 –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прим.ред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.] по делу № 2-1480/2021, где это чётко прописано».</w:t>
      </w:r>
    </w:p>
    <w:p w14:paraId="238C0810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4E1E23E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8"/>
          <w:szCs w:val="28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8"/>
          <w:szCs w:val="28"/>
          <w:u w:val="single"/>
        </w:rPr>
        <w:t>Умные домофоны.</w:t>
      </w:r>
    </w:p>
    <w:p w14:paraId="755449CE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Если в доме установлены современные запирающие устройства с функцией записи сообщений, их можно настроить на автоматическое информирование по простой схеме:</w:t>
      </w:r>
    </w:p>
    <w:p w14:paraId="3DA04B76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УО записывает короткое 10-секундное напоминание о долге.</w:t>
      </w:r>
    </w:p>
    <w:p w14:paraId="497BCFCC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Домофон в заданное время звонит в квартиру должника и проигрывает аудиоролик.</w:t>
      </w:r>
    </w:p>
    <w:p w14:paraId="2DDFAE76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Если человек открывает подъездную дверь ключом, уведомление слышат все, кто стоит в этот момент рядом.</w:t>
      </w:r>
    </w:p>
    <w:p w14:paraId="7934A72D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Например, в доме на 120 квартир за две недели такой «терапии» долги на 65 тысяч рублей погасили 18 человек. Жалобы на подобный способ информирования направили лишь двое.</w:t>
      </w:r>
    </w:p>
    <w:p w14:paraId="73FE600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«Те, кто не отреагировал, – это уже “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злостники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”, с которыми придётся судиться, но основную массу удалось “достать” быстро и дёшево», – отметила Елена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Шерешовец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.</w:t>
      </w:r>
    </w:p>
    <w:p w14:paraId="00B7085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Поощрение «отличников» и мода на добросовестность</w:t>
      </w:r>
    </w:p>
    <w:p w14:paraId="08C6FD8C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Отдельно эксперты остановились на важности обратной связи с теми, кто платит за ЖКУ полностью и в срок. Ведь профилактика долгов нужна не меньше, чем их взыскание. Здесь можно использовать простой приём: в платёжных документах или на информационных стендах отмечать добросовестных потребителей услуг.</w:t>
      </w:r>
    </w:p>
    <w:p w14:paraId="54F9897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Штамп «Спасибо за своевременную оплату» или перечень номеров квартир «отличников» создаёт позитивное социальное давление. Такие «пряники» работают не хуже «кнутов», формируя моду на добросовестность.</w:t>
      </w:r>
    </w:p>
    <w:p w14:paraId="041BD35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Три перечисленных выше метода – лишь малая часть из того, что мы успели обсудить в рамках эфира 18 марта. Эксперты также затронули темы:</w:t>
      </w:r>
    </w:p>
    <w:p w14:paraId="3A8793D0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использования QR-кодов в квитанциях для мгновенной оплаты;</w:t>
      </w:r>
    </w:p>
    <w:p w14:paraId="7E3E58EB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взыскания долгов с умерших собственников и выморочного имущества;</w:t>
      </w:r>
    </w:p>
    <w:p w14:paraId="38E61EB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работы с квартирами, права на которые не зарегистрированы в Росреестре;</w:t>
      </w:r>
    </w:p>
    <w:p w14:paraId="6F35295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нового порядка уведомления должников через Госуслуги.</w:t>
      </w:r>
    </w:p>
    <w:p w14:paraId="657F1CA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Спикеры ответили на вопросы слушателей, среди которых были ситуации с наследством, муниципальными квартирами и отказами нотариусов. Чтобы получить видеозапись эфира и раздаточные материалы, включая судебную практику по выморочному имуществу, до 11 апреля оставьте запрос в форме.</w:t>
      </w:r>
    </w:p>
    <w:p w14:paraId="587A57C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  <w:t>----------------------------------------------------------------------------------------------------------------------------------</w:t>
      </w:r>
    </w:p>
    <w:p w14:paraId="730BCD6C" w14:textId="2E89D952" w:rsidR="00493D0C" w:rsidRPr="00493D0C" w:rsidRDefault="00493D0C" w:rsidP="00493D0C">
      <w:pPr>
        <w:pStyle w:val="a3"/>
        <w:numPr>
          <w:ilvl w:val="0"/>
          <w:numId w:val="2"/>
        </w:numPr>
        <w:spacing w:line="259" w:lineRule="auto"/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  <w:t>Какие новые полномочия в 2026 году получат органы ГЖН, и почему</w:t>
      </w:r>
    </w:p>
    <w:p w14:paraId="26D4A9B6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lastRenderedPageBreak/>
        <w:t xml:space="preserve">С сентября 2026 года исчезнет один из видов контроля за деятельностью лиц, управляющих многоквартирными домами. При этом органы ГЖН, наряду с уже добавленными с марта, получат дополнительные полномочия. Разбираемся, кто перестанет проверять УО и ТСЖ, а также в новых обязанностях </w:t>
      </w:r>
      <w:proofErr w:type="spellStart"/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Госжилинспекций</w:t>
      </w:r>
      <w:proofErr w:type="spellEnd"/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 xml:space="preserve"> по ст. 20 ЖК РФ.</w:t>
      </w:r>
    </w:p>
    <w:p w14:paraId="477F8029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Органы ГЖН наряду с муниципалитетами проверяют работу УО и ТСЖ в многоквартирных домах</w:t>
      </w:r>
    </w:p>
    <w:p w14:paraId="016484F5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полномочиям органов местного самоуправления изначально был отнесён контроль за использованием и сохранностью муниципального жилищного фонда, то есть исполнение полномочий его собственника. МЖК как вид публичного надзора введён Федеральным законом от 25.06.2012 № 93-Ф3.</w:t>
      </w:r>
    </w:p>
    <w:p w14:paraId="084D593D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Согласно действующим ч. ч. 1, 4 ст. 20 ЖК РФ, органы ГЖН проводят проверки в отношении всего жилья, за исключением муниципального, за состоянием которого следит местное самоуправление. Предметом МЖК является соблюдение требований:</w:t>
      </w:r>
    </w:p>
    <w:p w14:paraId="1A652F6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использованию и сохранности жилищного фонда, в том числе содержанию общего имущества в многоквартирных домах, порядка перевода жилого помещения в нежилое и обратно, перепланировки, переустройства;</w:t>
      </w:r>
    </w:p>
    <w:p w14:paraId="36D8A19B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формированию фондов капитального ремонта;</w:t>
      </w:r>
    </w:p>
    <w:p w14:paraId="2FBC79F5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созданию и деятельности юрлиц и ИП, управляющих домами, оказывающих услуги, выполняющих работы по содержанию и ремонту общего имущества;</w:t>
      </w:r>
    </w:p>
    <w:p w14:paraId="6C9F8877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предоставлению, ограничению и приостановке коммунальных услуг;</w:t>
      </w:r>
    </w:p>
    <w:p w14:paraId="3F431C9D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порядку изменения размера платы за содержание жилого помещения, в том числе при некачественных услугах;</w:t>
      </w:r>
    </w:p>
    <w:p w14:paraId="0CAD95B8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энергетической эффективности и установке приборов учёта;</w:t>
      </w:r>
    </w:p>
    <w:p w14:paraId="7A556FC8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порядку размещения информации в ГИС ЖКХ и взаимодействию в MAX;</w:t>
      </w:r>
    </w:p>
    <w:p w14:paraId="3AAE57D9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обеспечению доступности для инвалидов помещений МКД;</w:t>
      </w:r>
    </w:p>
    <w:p w14:paraId="4D6CF3FA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безопасной эксплуатации и техобслуживанию ВДГО и ВКГО;</w:t>
      </w:r>
    </w:p>
    <w:p w14:paraId="67D896FC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 содержанию общедомовых вентиляционных и дымовых каналов.</w:t>
      </w:r>
    </w:p>
    <w:p w14:paraId="7B25213A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Данные полномочия полностью совпадают с предметом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госжилнадзора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, в рамках которого проверяются лица, управляющие МКД (ч. 1 ст. 20 ЖК РФ). Это создаёт дополнительную нагрузку на такие компании:</w:t>
      </w:r>
    </w:p>
    <w:p w14:paraId="5A78AC8C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«Сегодня в домах, где есть хотя бы одна муниципальная квартира, УО может одновременно проверяться по нескольким направлениям – в рамках регионального государственного жилищного надзора, лицензионного и муниципального контроля. При этом предмет проверки фактически один и тот же. Такая модель привела к пересечению компетенций и размыванию ответственности», – сформулировал проблему глава комитета Госдумы РФ по строительству и ЖКХ Сергей Пахомов.</w:t>
      </w:r>
    </w:p>
    <w:p w14:paraId="62806813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Муниципальный контроль неэффективен, но часто проводится по нарушениям лицензионных требований УО</w:t>
      </w:r>
    </w:p>
    <w:p w14:paraId="73258C59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При этом в ч. 7 ст. 20 ЖК РФ установлен прямой запрет на проведении в рамках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жилнадзора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проверок по соблюдению УО лицензионных требований, а о праве МЖК это сделать в НПА и на практике нет «однозначного решения».</w:t>
      </w:r>
    </w:p>
    <w:p w14:paraId="02861E4F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Вопрос о правомерности муниципального контроля применительно лицензиатам становился предметом судебных разбирательств. И инстанции по-разному отвечают на этот вопрос. Например, он рассматривался в определениях Верховного Суда РФ:</w:t>
      </w:r>
    </w:p>
    <w:p w14:paraId="6E45666F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от 12.07.2019 № 309- ЭС19-9905,</w:t>
      </w:r>
    </w:p>
    <w:p w14:paraId="777790D5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от 25.03.2020 № 309-ЭС19-26455,</w:t>
      </w:r>
    </w:p>
    <w:p w14:paraId="40FC2A7F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от 20.04.2020 № 309-ЭС20-4823,</w:t>
      </w:r>
    </w:p>
    <w:p w14:paraId="24F7325D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от 24.08.2020 № 310-ЭС20-114760.</w:t>
      </w:r>
    </w:p>
    <w:p w14:paraId="3A53E6AA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Также позиции по такому виду споров можно найти в постановлениях АС Уральского округа от 10.10.2019 № Ф09-632919 и от 23.09.2021 № Ф09-692721, Семнадцатого арбитражного апелляционного суда от 13.01.2020 № 17АП-183612019-АК.</w:t>
      </w:r>
    </w:p>
    <w:p w14:paraId="3FC4C92C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Помимо правовой неопределённости в полномочиях, муниципальный контроль, по данным депутатов Госдумы РФ, показал низкую эффективность:</w:t>
      </w:r>
    </w:p>
    <w:p w14:paraId="7B666669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Из пояснительной записки к проекту Федерального закона от 20.02.2026 № 23-ФЗ</w:t>
      </w:r>
    </w:p>
    <w:p w14:paraId="2273CAA6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Такие показатели не позволяют инспекторам накопить достаточный профессиональный опыт. К тому же они не могут самостоятельно привлекать нарушителей к ответственности – только передавать материалы в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Госжилинспекции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. Это затягивает реакцию надзора на несоблюдение обязательных требований.</w:t>
      </w:r>
    </w:p>
    <w:p w14:paraId="4F320990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 xml:space="preserve">Полномочия муниципального контроля передаются органам </w:t>
      </w:r>
      <w:proofErr w:type="spellStart"/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Госжилнадзора</w:t>
      </w:r>
      <w:proofErr w:type="spellEnd"/>
    </w:p>
    <w:p w14:paraId="4DA5A930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  <w:u w:val="single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  <w:u w:val="single"/>
        </w:rPr>
        <w:t>Все эти нарекания и противоречия легли в основу проекта изменений в НПА о контроле за управляющими домами организациями – он утверждён как Федеральный закон от 20.02.2026 № 23-ФЗ. Согласно документу, с 1 сентября 2026 года из ст. 20 ЖК РФ исключается понятие муниципального контроля – его функции передаются органам ГЖН.</w:t>
      </w:r>
    </w:p>
    <w:p w14:paraId="6758620A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Депутаты Госдумы РФ считают, что подобная мера уменьшит административную нагрузку на УО, а объёмы работы региональных инспекций значительно не увеличатся: муниципального жилья в стране становится всё меньше.</w:t>
      </w:r>
    </w:p>
    <w:p w14:paraId="44B5FE09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Органы ГЖН теперь проверяют работу застройщиков в ГИС ЖКХ и исполнителей ЖКУ – в MAX</w:t>
      </w:r>
    </w:p>
    <w:p w14:paraId="14DF8866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Также Федеральный закон от 20.02.2026 № 23-ФЗ с 1 марта наделил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Госжилинспекции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дополнительными полномочиями. Согласно п. 9 ч. 1 ст. 20 ЖК РФ, она должна следить за выполнением требований № 529-ФЗ и Порядка № 856/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по взаимодействию с исполнителей ЖКУ с потребителями в мессенджере MAX.</w:t>
      </w:r>
    </w:p>
    <w:p w14:paraId="5E805E76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Также расширен круг заполняющих ГИС ЖКХ лиц, которых ГЖИ вправе проверить. Такие КНМ проводятся в отношении:</w:t>
      </w:r>
    </w:p>
    <w:p w14:paraId="7DB4B18D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ресурсоснабжающих организаций,</w:t>
      </w:r>
    </w:p>
    <w:p w14:paraId="180C6284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УО, ТСЖ и кооперативов; </w:t>
      </w:r>
    </w:p>
    <w:p w14:paraId="2E2C11D5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региональных операторов,</w:t>
      </w:r>
    </w:p>
    <w:p w14:paraId="6BB4F4D7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застройщиков,</w:t>
      </w:r>
    </w:p>
    <w:p w14:paraId="1821BB7E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 xml:space="preserve">компаний и ИП, с которыми собственники в МКД с непосредственным управлением заключили договоры на оказание услуг по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СиТР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;</w:t>
      </w:r>
    </w:p>
    <w:p w14:paraId="61228D17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лиц, наделённых правом размещения информации в системе.</w:t>
      </w:r>
    </w:p>
    <w:p w14:paraId="058B8DAA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Мы продолжаем следить за изменениями в функционале и в НПА о работе в системе, чтобы сотрудники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РосКвартала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, которые заполняют ГИС ЖКХ, делали это в срок и в полном объёме. Тоже хотите заниматься управлением МКД, а не внесением огромного объёма данных по приказу № 79/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? Обратитесь к нам – мы поможем.</w:t>
      </w:r>
    </w:p>
    <w:p w14:paraId="55C67239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  <w:u w:val="single"/>
        </w:rPr>
        <w:t>----------------------------------------------------------------------------------------------------------------------------------</w:t>
      </w:r>
    </w:p>
    <w:p w14:paraId="3918C8C7" w14:textId="1B4BABDC" w:rsidR="00493D0C" w:rsidRPr="00493D0C" w:rsidRDefault="00493D0C" w:rsidP="00493D0C">
      <w:pPr>
        <w:pStyle w:val="a3"/>
        <w:numPr>
          <w:ilvl w:val="0"/>
          <w:numId w:val="2"/>
        </w:numPr>
        <w:spacing w:line="259" w:lineRule="auto"/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</w:pPr>
      <w:bookmarkStart w:id="3" w:name="_Hlk226196124"/>
      <w:r w:rsidRPr="00493D0C">
        <w:rPr>
          <w:rFonts w:ascii="Times New Roman" w:eastAsiaTheme="minorHAnsi" w:hAnsi="Times New Roman"/>
          <w:b/>
          <w:bCs/>
          <w:color w:val="002060"/>
          <w:sz w:val="40"/>
          <w:szCs w:val="40"/>
          <w:u w:val="single"/>
        </w:rPr>
        <w:t>Как с 1 марта будет проводиться лицензионный контроль за работой УО</w:t>
      </w:r>
    </w:p>
    <w:bookmarkEnd w:id="3"/>
    <w:p w14:paraId="06DB4C7E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24"/>
          <w:szCs w:val="24"/>
        </w:rPr>
        <w:t>Новое постановление Правительства России упорядочило мероприятия по лицензионному контролю за работой управляющих домами организаций. Читайте, как с 1 марта 2022 года надзорные органы будут контролировать УО и от чего зависит частота плановых проверок компаний.</w:t>
      </w:r>
    </w:p>
    <w:p w14:paraId="26123B37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Порядок проведения лицензионного контроля прописан в постановлении Правительства РФ от 28.10.2014 № 1110</w:t>
      </w:r>
    </w:p>
    <w:p w14:paraId="247684B9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1 марта 2022 года вступит в силу постановление Правительства РФ от 05.02.2022 № 117. Оно внесло существенные изменения в ПП РФ № 1110: о получении и переоформлении лицензии УО и о проведении органом ГЖН лицензионного контроля. В первой статье о данном постановлении мы рассказали о корректировках, внесённых:</w:t>
      </w:r>
    </w:p>
    <w:p w14:paraId="71CE7B94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порядок подачи заявления на лицензию по управлению МКД;</w:t>
      </w:r>
    </w:p>
    <w:p w14:paraId="1967DCD2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в состав документов, которые УО необходимо приложить к такому заявлению; </w:t>
      </w:r>
    </w:p>
    <w:p w14:paraId="408F2819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сроки рассмотрения такого заявления и его формы.</w:t>
      </w:r>
    </w:p>
    <w:p w14:paraId="4F022FAE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Сегодня поговорим о лицензионном контроле, порядок проведения которого начнёт действовать весной в составе Положения о лицензировании № 1110. С 1 марта 2022 года вступит в силу новая редакция ст. 20 ЖК РФ, введённая № 170-ФЗ. Тогда произойдёт перераспределение полномочий между органами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госжилнадзора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и регионального лицензионного контроля.</w:t>
      </w:r>
    </w:p>
    <w:p w14:paraId="21EC15EE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Требования к проведению регионального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госжилнадзора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утверждены ранее постановлением Правительства РФ от 30.09.2021 № 1670. В 2022 году пришёл черёд правил лицензионного контроля за работой УО.</w:t>
      </w:r>
    </w:p>
    <w:p w14:paraId="79121EA1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Согласно п. 2 ПП РФ № 117, все плановые проверки в рамках лицензионного контроля после 28 февраля 2022 года будут проводиться в соответствии с обновлённым Положением о контроле из ПП РФ № 1110. В нём появятся шесть новых разделов о лицензионном контроле:</w:t>
      </w:r>
    </w:p>
    <w:p w14:paraId="472DF828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общие положения;</w:t>
      </w:r>
    </w:p>
    <w:p w14:paraId="4995DF23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управление рисками причинения вреда охраняемым законом ценностям;</w:t>
      </w:r>
    </w:p>
    <w:p w14:paraId="159E1BEE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организация профилактики нарушений;</w:t>
      </w:r>
    </w:p>
    <w:p w14:paraId="6DA2479C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проведение надзорных мероприятий;</w:t>
      </w:r>
    </w:p>
    <w:p w14:paraId="05A216D3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оформление их результатов;</w:t>
      </w:r>
    </w:p>
    <w:p w14:paraId="3652468A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порядок обжалования решений лицензирующего органа, действий и бездействия его должностных лиц.</w:t>
      </w:r>
    </w:p>
    <w:p w14:paraId="0D68E43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Разберём подробнее каждый из этих блоков.</w:t>
      </w:r>
    </w:p>
    <w:p w14:paraId="0C07E1C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В рамках лицензионного контроля надзорные органы будут проверять только компании с лицензией на управление МКД</w:t>
      </w:r>
    </w:p>
    <w:p w14:paraId="256D7A4B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Согласно п. 23 Положения о контроле, органы лицензионного контроля будут проверять деятельность юридических лиц и индивидуальных предпринимателей, управляющих многоквартирными домами на основании лицензии. Следовательно, в рамках таких надзорных мероприятий ведомства не могут контролировать работу ТСЖ, кооперативов и РСО.</w:t>
      </w:r>
    </w:p>
    <w:p w14:paraId="73F9516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Список объектов для проверок органы ГЖН будут брать из ГИС ЖКХ (п. 24 Положения о контроле). Весь процесс лицензионного контроля должен соответствовать нормам Федерального закона от 31.07.2020 № 248-ФЗ.</w:t>
      </w:r>
    </w:p>
    <w:p w14:paraId="3EB4EB8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Частота плановых проверок УО напрямую зависит от категории риска причинения вреда</w:t>
      </w:r>
    </w:p>
    <w:p w14:paraId="3DBC97D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соответствии с п. 29 Положения о контроле, при его проведении орган ГЖН должен применять систему оценки и управления рисками причинения вреда или ущерба. Согласно п. 31 и приложению к Положению о контроле, УО будут разделены по двум признакам:</w:t>
      </w:r>
    </w:p>
    <w:p w14:paraId="071A38B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 тяжести и масштабу потенциальных негативных последствий, которые могут наступить при несоблюдении лицензионных требований – группы тяжести «А» и «Б». В группу «А» войдут УО, которые управляют домами с лифтами и газовым оборудованием. Остальные попадут в группу «Б».</w:t>
      </w:r>
    </w:p>
    <w:p w14:paraId="13FDEED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 степени вероятности совершения нарушений – № 1 и № 2. Управляющая организация попадёт в группу «1», если у неё за последние два года есть неисполненное вступившее в силу постановление об административных правонарушениях по ч. ч. 2 и 3 ст. 14.1.3 КоАП РФ. Остальные попадут в группу «2».</w:t>
      </w:r>
    </w:p>
    <w:p w14:paraId="0FC0705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зависимости от группы тяжести и вероятности нарушений все УО будут отнесены к категории риска:</w:t>
      </w:r>
    </w:p>
    <w:p w14:paraId="64A2A95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Theme="minorHAnsi" w:eastAsiaTheme="minorHAnsi" w:hAnsiTheme="minorHAnsi" w:cstheme="minorBidi"/>
          <w:noProof/>
        </w:rPr>
        <w:drawing>
          <wp:inline distT="0" distB="0" distL="0" distR="0" wp14:anchorId="1ED772E2" wp14:editId="4A5F02D8">
            <wp:extent cx="6645910" cy="1808118"/>
            <wp:effectExtent l="0" t="0" r="254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80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6A85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64B4437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Согласно п. 32 Положения о контроле, от категории зависит частота проведения плановых контрольных мероприятий: инспекционный визит, документарная или выездная проверки. Для категории:</w:t>
      </w:r>
    </w:p>
    <w:p w14:paraId="728CA80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высокого риска – один раз в 3 года.</w:t>
      </w:r>
    </w:p>
    <w:p w14:paraId="1917348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среднего риска – один раз в 4 года.</w:t>
      </w:r>
    </w:p>
    <w:p w14:paraId="2A467E4D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умеренного риска – один раз в 5 лет.</w:t>
      </w:r>
    </w:p>
    <w:p w14:paraId="6D681B5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УО из группы низкого риска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планово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не проверяются.</w:t>
      </w:r>
    </w:p>
    <w:p w14:paraId="4DEE1B32" w14:textId="77777777" w:rsidR="00493D0C" w:rsidRPr="00493D0C" w:rsidRDefault="00493D0C" w:rsidP="00493D0C">
      <w:pPr>
        <w:spacing w:line="259" w:lineRule="auto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lastRenderedPageBreak/>
        <w:t>Органы лицензионного контроля обязаны проводить профилактические мероприятия для УО</w:t>
      </w:r>
    </w:p>
    <w:p w14:paraId="42961C5D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Органы контроля должны симулировать добросовестное соблюдение УО лицензионных требований и информировать их о таких требованиях. Для этого, согласно п. 34 Положения о контроле, ведомства должны разработать программу профилактических мероприятий, включив в неё:</w:t>
      </w:r>
    </w:p>
    <w:p w14:paraId="13CAF567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Информирование.</w:t>
      </w:r>
    </w:p>
    <w:p w14:paraId="6C352D2F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Обобщение правоприменительной практики.</w:t>
      </w:r>
    </w:p>
    <w:p w14:paraId="4F1349D4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Согласно п. 38 Положения о контроле, орган ГЖН должен ежегодно до 15 марта публиковать на сайте доклад о правоприменительной практике.</w:t>
      </w:r>
    </w:p>
    <w:p w14:paraId="32041745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Объявление предостережения.</w:t>
      </w:r>
    </w:p>
    <w:p w14:paraId="61FD6FF5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Предостережение можно оспорить в течение 15 рабочих дней после его получения (п. 40 Положения о контроле). Для этого организация должна направить в надзорный орган возражение на бумаге или по электронной почте. У ведомства будет 20 рабочих дней на рассмотрение заявления и вынесения решения по нему.</w:t>
      </w:r>
    </w:p>
    <w:p w14:paraId="52BCE531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Консультирование.</w:t>
      </w:r>
    </w:p>
    <w:p w14:paraId="33B164D0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Проводится только по трём группам вопросов: лицензионный контроль, его предмет и профилактические мероприятия.</w:t>
      </w:r>
    </w:p>
    <w:p w14:paraId="37755B80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Профилактические визиты.</w:t>
      </w:r>
    </w:p>
    <w:p w14:paraId="2C441278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Согласно п. 45 Положения о контроле, орган ГЖН должен проводить такие визиты в отношении новых УО и компаний из категории высокого риска. Это беседа представителя контрольного органа с лицензиатом в офисе компании или по видеоконференцсвязи.</w:t>
      </w:r>
    </w:p>
    <w:p w14:paraId="4A855EAF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По итогам такой беседы инспектор не вправе выдавать предписания. Но если выявлена угроза причинения вреда, то на основе этой информации орган ГЖН может принять решение о проведении внеплановой проверки УО. Организация вправе отказаться от профилактического визита, уведомив об этом ведомство не позднее чем за 3 рабочих дня до визита.</w:t>
      </w:r>
    </w:p>
    <w:p w14:paraId="798E384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Плановые проверки могут быть при взаимодействии с УО или без него</w:t>
      </w:r>
    </w:p>
    <w:p w14:paraId="60124B1E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разделе V Положения о контроле законодатели прописали виды контрольных мероприятий. Одни проводятся при взаимодействии с УО, другие без него.</w:t>
      </w:r>
    </w:p>
    <w:p w14:paraId="38D8AED1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Коммуникация органа ГЖН с управляющей организацией предполагается при инспекционных визитах, документарной и выездной проверках. Инспекторы могут проводить осмотры и опросы, требовать письменные пояснения и документы, а при выезде – организоваться экспертизу или инструментальное обследование дома, его отдельных элементов.</w:t>
      </w:r>
    </w:p>
    <w:p w14:paraId="6BB7577F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Без взаимодействия с лицензиатом инспекторы организуют:</w:t>
      </w:r>
    </w:p>
    <w:p w14:paraId="73A49F97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наблюдение за соблюдением им лицензионных требований, например, проверяют полноту и своевременность заполнения ГИС ЖКХ;</w:t>
      </w:r>
    </w:p>
    <w:p w14:paraId="0D8B58D2" w14:textId="77777777" w:rsidR="00493D0C" w:rsidRPr="00493D0C" w:rsidRDefault="00493D0C" w:rsidP="00493D0C">
      <w:pPr>
        <w:numPr>
          <w:ilvl w:val="0"/>
          <w:numId w:val="6"/>
        </w:numPr>
        <w:spacing w:line="259" w:lineRule="auto"/>
        <w:contextualSpacing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выездное обследование без информирования компании.</w:t>
      </w:r>
    </w:p>
    <w:p w14:paraId="35DB3899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 xml:space="preserve">Результаты проверок фиксируются в акте с приложением видео- и </w:t>
      </w:r>
      <w:proofErr w:type="spellStart"/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фотофайлов</w:t>
      </w:r>
      <w:proofErr w:type="spellEnd"/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 xml:space="preserve"> при их наличии</w:t>
      </w:r>
    </w:p>
    <w:p w14:paraId="361703EC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lastRenderedPageBreak/>
        <w:t>Правила составления акта контрольного мероприятия прописаны в разд. VI Положения о контроле. Сделать это нужно в день окончания проверки или иного надзорного мероприятия. Если представитель УО откажется подписать акт, то сотрудник ведомства делает об этом отметку в акте (п. 61 Положения о контроле).</w:t>
      </w:r>
    </w:p>
    <w:p w14:paraId="2BFE535F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56D126CC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Согласно п. 57 Положения о контроле, при выездной проверке или визите сотрудники надзорного ведомства вправе использовать фото и видеосъёмку, аудиозапись для фиксации доказательств нарушений лицензионных требований. Такие файлы становятся приложениями к акту проверки.</w:t>
      </w:r>
    </w:p>
    <w:p w14:paraId="30CA3E4C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Если при контрольном мероприятии выявлены нарушения лицензионных требований, то уполномоченное лицо оформляет акт и после этого выдаёт УО предписание об их устранении с указанием срока исполнения.</w:t>
      </w:r>
    </w:p>
    <w:p w14:paraId="59C4A97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УО вправе обжаловать решения или действия сотрудников органа контроля в установленные сроки</w:t>
      </w:r>
    </w:p>
    <w:p w14:paraId="68A57153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соответствии с № 248-ФЗ и раз. VII Положения о контроле, если управляющая организация не согласна с выданным предписанием, проведением проверки или иными действиями органа ГЖН, то она должна обжаловать их в досудебном порядке.</w:t>
      </w:r>
    </w:p>
    <w:p w14:paraId="2DF9611C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Согласно п. 67 Положения о контроле, УО может подать жалобу в течение 30 календарных дней со дня, когда она узнала или должна была узнать о нарушении своих прав. Если компания получила предписание, что срок на его обжалование – 10 рабочих дней со дня получения документа. Этот срок может быть восстановлен по ходатайству УО при наличии уважительной причины: болезнь или служебная командировка (п. 69 Положения о контроле).</w:t>
      </w:r>
    </w:p>
    <w:p w14:paraId="530F2E7C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</w:pPr>
      <w:r w:rsidRPr="00493D0C">
        <w:rPr>
          <w:rFonts w:ascii="Times New Roman" w:eastAsiaTheme="minorHAnsi" w:hAnsi="Times New Roman"/>
          <w:b/>
          <w:bCs/>
          <w:color w:val="002060"/>
          <w:sz w:val="32"/>
          <w:szCs w:val="32"/>
          <w:u w:val="single"/>
        </w:rPr>
        <w:t>На заметку</w:t>
      </w:r>
    </w:p>
    <w:p w14:paraId="0877378C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С 1 марта все управляющие организации в регионах получат свою категорию риска. Органы ГЖН чаще других станут </w:t>
      </w:r>
      <w:proofErr w:type="spellStart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планово</w:t>
      </w:r>
      <w:proofErr w:type="spellEnd"/>
      <w:r w:rsidRPr="00493D0C">
        <w:rPr>
          <w:rFonts w:ascii="Times New Roman" w:eastAsiaTheme="minorHAnsi" w:hAnsi="Times New Roman"/>
          <w:b/>
          <w:bCs/>
          <w:sz w:val="24"/>
          <w:szCs w:val="24"/>
        </w:rPr>
        <w:t xml:space="preserve"> проверять компании, управляющие домами с лифтами и ВДГО, а также привлечённые к ответственности за нарушения лицензионных требований.</w:t>
      </w:r>
    </w:p>
    <w:p w14:paraId="609AA9EF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Проверки будут как при взаимодействии с УО, так и без него, в том числе наблюдение за тем, как компании заполняют ГИС ЖКХ. Также следует учесть, что орган лицензионного контроля может провести выездное обследование без информирования об этом УО.</w:t>
      </w:r>
    </w:p>
    <w:p w14:paraId="287618E2" w14:textId="77777777" w:rsidR="00493D0C" w:rsidRPr="00493D0C" w:rsidRDefault="00493D0C" w:rsidP="00493D0C">
      <w:pPr>
        <w:spacing w:line="259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93D0C">
        <w:rPr>
          <w:rFonts w:ascii="Times New Roman" w:eastAsiaTheme="minorHAnsi" w:hAnsi="Times New Roman"/>
          <w:b/>
          <w:bCs/>
          <w:sz w:val="24"/>
          <w:szCs w:val="24"/>
        </w:rPr>
        <w:t>В какую категорию риска вы попадёте после 1 марта 2022 года? Проверьте и узнайте, как часто ваша компания будет попадать в график плановых проверок соблюдения лицензионных требований.</w:t>
      </w:r>
    </w:p>
    <w:p w14:paraId="7DEBB842" w14:textId="77777777" w:rsidR="0055571F" w:rsidRPr="0055571F" w:rsidRDefault="0055571F" w:rsidP="0055571F">
      <w:pPr>
        <w:spacing w:line="276" w:lineRule="auto"/>
        <w:rPr>
          <w:rFonts w:ascii="Times New Roman" w:eastAsia="Times New Roman" w:hAnsi="Times New Roman"/>
          <w:b/>
          <w:color w:val="C00000"/>
          <w:sz w:val="24"/>
          <w:szCs w:val="24"/>
          <w:u w:val="single"/>
          <w:lang w:eastAsia="ru-RU"/>
        </w:rPr>
      </w:pPr>
      <w:r w:rsidRPr="0055571F">
        <w:rPr>
          <w:rFonts w:ascii="Times New Roman" w:eastAsia="Times New Roman" w:hAnsi="Times New Roman"/>
          <w:b/>
          <w:color w:val="C00000"/>
          <w:sz w:val="24"/>
          <w:szCs w:val="24"/>
          <w:u w:val="single"/>
          <w:lang w:eastAsia="ru-RU"/>
        </w:rPr>
        <w:t>----------------------------------------------------------------------------------------------------------------------------------</w:t>
      </w:r>
    </w:p>
    <w:p w14:paraId="5708B150" w14:textId="77777777" w:rsidR="0055571F" w:rsidRPr="0055571F" w:rsidRDefault="0055571F" w:rsidP="005557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u w:val="single"/>
        </w:rPr>
      </w:pPr>
      <w:r w:rsidRPr="0055571F">
        <w:rPr>
          <w:rFonts w:ascii="Times New Roman" w:eastAsia="Times New Roman" w:hAnsi="Times New Roman"/>
          <w:b/>
          <w:bCs/>
          <w:color w:val="C00000"/>
          <w:sz w:val="24"/>
          <w:szCs w:val="24"/>
          <w:u w:val="single"/>
        </w:rPr>
        <w:t>Настоящий Информационный бюллетень подготовлен Региональным отраслевым объединением работодателей Ассоциацией организаций жилищно-коммунального хозяйства Орловской области для специалистов предприятий-членов этой некоммерческой организации с использованием публикаций электронных изданий ООО «МЦФР-пресс»,</w:t>
      </w:r>
    </w:p>
    <w:p w14:paraId="0387354A" w14:textId="77777777" w:rsidR="0055571F" w:rsidRPr="0055571F" w:rsidRDefault="0055571F" w:rsidP="005557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u w:val="single"/>
        </w:rPr>
      </w:pPr>
      <w:r w:rsidRPr="0055571F">
        <w:rPr>
          <w:rFonts w:ascii="Times New Roman" w:eastAsia="Times New Roman" w:hAnsi="Times New Roman"/>
          <w:b/>
          <w:bCs/>
          <w:color w:val="C00000"/>
          <w:sz w:val="24"/>
          <w:szCs w:val="24"/>
          <w:u w:val="single"/>
        </w:rPr>
        <w:t xml:space="preserve">а также информационных порталов «Информационная система Управление МКД» </w:t>
      </w:r>
    </w:p>
    <w:p w14:paraId="646B163A" w14:textId="6B820E77" w:rsidR="0055571F" w:rsidRPr="0055571F" w:rsidRDefault="0055571F" w:rsidP="0055571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color w:val="C00000"/>
          <w:sz w:val="24"/>
          <w:szCs w:val="24"/>
          <w:u w:val="single"/>
        </w:rPr>
      </w:pPr>
      <w:r w:rsidRPr="0055571F">
        <w:rPr>
          <w:rFonts w:ascii="Times New Roman" w:eastAsia="Times New Roman" w:hAnsi="Times New Roman"/>
          <w:b/>
          <w:bCs/>
          <w:color w:val="C00000"/>
          <w:sz w:val="24"/>
          <w:szCs w:val="24"/>
          <w:u w:val="single"/>
        </w:rPr>
        <w:t>и электронного журнала «Рос-Квартал» или Р-1.</w:t>
      </w:r>
    </w:p>
    <w:p w14:paraId="7B409CC3" w14:textId="77777777" w:rsidR="0055571F" w:rsidRPr="0055571F" w:rsidRDefault="0055571F" w:rsidP="0055571F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eastAsia="Times New Roman" w:hAnsi="Times New Roman"/>
          <w:b/>
          <w:color w:val="C00000"/>
          <w:sz w:val="24"/>
          <w:szCs w:val="24"/>
        </w:rPr>
      </w:pPr>
      <w:r w:rsidRPr="0055571F">
        <w:rPr>
          <w:rFonts w:ascii="Times New Roman" w:eastAsia="Times New Roman" w:hAnsi="Times New Roman"/>
          <w:b/>
          <w:color w:val="C00000"/>
          <w:sz w:val="24"/>
          <w:szCs w:val="24"/>
        </w:rPr>
        <w:t>г. Орёл</w:t>
      </w:r>
    </w:p>
    <w:p w14:paraId="5380E2DC" w14:textId="30362A55" w:rsidR="00493D0C" w:rsidRPr="00493D0C" w:rsidRDefault="0055571F" w:rsidP="0055571F">
      <w:pPr>
        <w:spacing w:line="259" w:lineRule="auto"/>
        <w:jc w:val="both"/>
        <w:rPr>
          <w:rFonts w:ascii="Palatino Linotype" w:eastAsiaTheme="minorHAnsi" w:hAnsi="Palatino Linotype" w:cstheme="minorBidi"/>
          <w:b/>
          <w:bCs/>
          <w:sz w:val="24"/>
          <w:szCs w:val="24"/>
        </w:rPr>
      </w:pPr>
      <w:r w:rsidRPr="0055571F"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                                                                                </w:t>
      </w:r>
      <w:r w:rsidR="00EC6A7A">
        <w:rPr>
          <w:rFonts w:ascii="Times New Roman" w:eastAsia="Times New Roman" w:hAnsi="Times New Roman"/>
          <w:b/>
          <w:color w:val="C00000"/>
          <w:sz w:val="24"/>
          <w:szCs w:val="24"/>
        </w:rPr>
        <w:t>апрель</w:t>
      </w:r>
      <w:r w:rsidRPr="0055571F">
        <w:rPr>
          <w:rFonts w:ascii="Times New Roman" w:eastAsia="Times New Roman" w:hAnsi="Times New Roman"/>
          <w:b/>
          <w:color w:val="C00000"/>
          <w:sz w:val="24"/>
          <w:szCs w:val="24"/>
        </w:rPr>
        <w:t xml:space="preserve"> 2026 г.</w:t>
      </w:r>
    </w:p>
    <w:sectPr w:rsidR="00493D0C" w:rsidRPr="00493D0C" w:rsidSect="00493D0C"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515F" w14:textId="77777777" w:rsidR="00EF5B60" w:rsidRDefault="00EF5B60" w:rsidP="0055571F">
      <w:pPr>
        <w:spacing w:after="0" w:line="240" w:lineRule="auto"/>
      </w:pPr>
      <w:r>
        <w:separator/>
      </w:r>
    </w:p>
  </w:endnote>
  <w:endnote w:type="continuationSeparator" w:id="0">
    <w:p w14:paraId="4A612CDE" w14:textId="77777777" w:rsidR="00EF5B60" w:rsidRDefault="00EF5B60" w:rsidP="0055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8129192"/>
      <w:docPartObj>
        <w:docPartGallery w:val="Page Numbers (Bottom of Page)"/>
        <w:docPartUnique/>
      </w:docPartObj>
    </w:sdtPr>
    <w:sdtContent>
      <w:p w14:paraId="7C7E6837" w14:textId="77777777" w:rsidR="0055571F" w:rsidRDefault="005557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DC2AF7" w14:textId="77777777" w:rsidR="0055571F" w:rsidRDefault="005557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418F" w14:textId="77777777" w:rsidR="00EF5B60" w:rsidRDefault="00EF5B60" w:rsidP="0055571F">
      <w:pPr>
        <w:spacing w:after="0" w:line="240" w:lineRule="auto"/>
      </w:pPr>
      <w:r>
        <w:separator/>
      </w:r>
    </w:p>
  </w:footnote>
  <w:footnote w:type="continuationSeparator" w:id="0">
    <w:p w14:paraId="45598DD4" w14:textId="77777777" w:rsidR="00EF5B60" w:rsidRDefault="00EF5B60" w:rsidP="0055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44AA"/>
    <w:multiLevelType w:val="hybridMultilevel"/>
    <w:tmpl w:val="F766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A2E"/>
    <w:multiLevelType w:val="hybridMultilevel"/>
    <w:tmpl w:val="60CE1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864F5"/>
    <w:multiLevelType w:val="hybridMultilevel"/>
    <w:tmpl w:val="04488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62762"/>
    <w:multiLevelType w:val="hybridMultilevel"/>
    <w:tmpl w:val="02A0EB28"/>
    <w:lvl w:ilvl="0" w:tplc="2696AE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7144"/>
    <w:multiLevelType w:val="hybridMultilevel"/>
    <w:tmpl w:val="58B4580A"/>
    <w:lvl w:ilvl="0" w:tplc="77FEB5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F3451"/>
    <w:multiLevelType w:val="hybridMultilevel"/>
    <w:tmpl w:val="6A9EB006"/>
    <w:lvl w:ilvl="0" w:tplc="66681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D7E62"/>
    <w:multiLevelType w:val="hybridMultilevel"/>
    <w:tmpl w:val="6B6C7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20"/>
    <w:rsid w:val="00107320"/>
    <w:rsid w:val="00493D0C"/>
    <w:rsid w:val="0055571F"/>
    <w:rsid w:val="009A573C"/>
    <w:rsid w:val="00B82D15"/>
    <w:rsid w:val="00D426CD"/>
    <w:rsid w:val="00EC6A7A"/>
    <w:rsid w:val="00E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65912"/>
  <w15:chartTrackingRefBased/>
  <w15:docId w15:val="{30BA0B18-7353-4B75-91A8-7DA6CF26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D0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D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5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71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55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7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8099</Words>
  <Characters>46166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garidik</dc:creator>
  <cp:keywords/>
  <dc:description/>
  <cp:lastModifiedBy>garidik</cp:lastModifiedBy>
  <cp:revision>4</cp:revision>
  <dcterms:created xsi:type="dcterms:W3CDTF">2026-04-04T08:45:00Z</dcterms:created>
  <dcterms:modified xsi:type="dcterms:W3CDTF">2026-04-04T09:08:00Z</dcterms:modified>
</cp:coreProperties>
</file>